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Calibri"/>
        </w:rPr>
        <w:id w:val="-1176872922"/>
        <w:docPartObj>
          <w:docPartGallery w:val="Cover Pages"/>
          <w:docPartUnique/>
        </w:docPartObj>
      </w:sdtPr>
      <w:sdtEndPr/>
      <w:sdtContent>
        <w:p w14:paraId="4CC612D5" w14:textId="663D68E4" w:rsidR="00E6683C" w:rsidRPr="00425A4D" w:rsidRDefault="00E6683C" w:rsidP="00814EC7">
          <w:pPr>
            <w:jc w:val="both"/>
            <w:rPr>
              <w:rFonts w:cs="Calibri"/>
            </w:rPr>
          </w:pPr>
          <w:r w:rsidRPr="00425A4D">
            <w:rPr>
              <w:rFonts w:cs="Calibr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5CD5A9B" wp14:editId="1219D55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ové pol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28D0977" w14:textId="1D44AD78" w:rsidR="00E6683C" w:rsidRDefault="00814EC7">
                                <w:pPr>
                                  <w:pStyle w:val="Bezmezer"/>
                                  <w:rPr>
                                    <w:color w:val="2C3C43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2C3C43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6683C">
                                      <w:rPr>
                                        <w:color w:val="2C3C43" w:themeColor="text2"/>
                                      </w:rPr>
                                      <w:t>Verze 2020 – institucionální akreditace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CD5A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65" o:spid="_x0000_s1026" type="#_x0000_t202" style="position:absolute;left:0;text-align:left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" filled="f" stroked="f" strokeweight=".5pt">
                    <v:textbox style="mso-fit-shape-to-text:t">
                      <w:txbxContent>
                        <w:p w14:paraId="728D0977" w14:textId="1D44AD78" w:rsidR="00E6683C" w:rsidRDefault="00814EC7">
                          <w:pPr>
                            <w:pStyle w:val="Bezmezer"/>
                            <w:rPr>
                              <w:color w:val="2C3C43" w:themeColor="text2"/>
                            </w:rPr>
                          </w:pPr>
                          <w:sdt>
                            <w:sdtPr>
                              <w:rPr>
                                <w:color w:val="2C3C43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6683C">
                                <w:rPr>
                                  <w:color w:val="2C3C43" w:themeColor="text2"/>
                                </w:rPr>
                                <w:t>Verze 2020 – institucionální akreditace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25A4D">
            <w:rPr>
              <w:rFonts w:cs="Calibr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041AF73A" wp14:editId="198B268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Obdélní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C69A51" w14:textId="77777777" w:rsidR="00E6683C" w:rsidRDefault="00E6683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41AF73A" id="Obdélník 466" o:spid="_x0000_s1027" style="position:absolute;left:0;text-align:left;margin-left:0;margin-top:0;width:581.4pt;height:752.4pt;z-index:-25165414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" fillcolor="#e9f6d0 [660]" stroked="f" strokeweight="1.5pt">
                    <v:fill color2="#bfe373 [1940]" rotate="t" focusposition=".5,.5" focussize="-.5,-.5" focus="100%" type="gradientRadial"/>
                    <v:stroke endcap="round"/>
                    <v:path arrowok="t"/>
                    <v:textbox inset="21.6pt,,21.6pt">
                      <w:txbxContent>
                        <w:p w14:paraId="4BC69A51" w14:textId="77777777" w:rsidR="00E6683C" w:rsidRDefault="00E6683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25A4D">
            <w:rPr>
              <w:rFonts w:cs="Calibr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A516382" wp14:editId="6F6325A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Obdélní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9E4FBE" w14:textId="0E539AA4" w:rsidR="00E6683C" w:rsidRDefault="00814EC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Resumé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6683C">
                                      <w:rPr>
                                        <w:color w:val="FFFFFF" w:themeColor="background1"/>
                                      </w:rPr>
                                      <w:t xml:space="preserve">Okruhy jsou určeny studentům magisterského studia – oboru kulturní antropologie na Katedře sociologie, andragogiky a kulturní antropologie FF UP a jsou orientačním podkladem pro přípravu na státní závěrečnou zkoušku.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A516382" id="Obdélník 467" o:spid="_x0000_s1028" style="position:absolute;left:0;text-align:left;margin-left:0;margin-top:0;width:226.45pt;height:237.6pt;z-index:251656192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" fillcolor="#2c3c43 [3215]" stroked="f" strokeweight="1.5pt">
                    <v:stroke endcap="round"/>
                    <v:textbox inset="14.4pt,14.4pt,14.4pt,28.8pt">
                      <w:txbxContent>
                        <w:p w14:paraId="309E4FBE" w14:textId="0E539AA4" w:rsidR="00E6683C" w:rsidRDefault="00814EC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Resumé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6683C">
                                <w:rPr>
                                  <w:color w:val="FFFFFF" w:themeColor="background1"/>
                                </w:rPr>
                                <w:t xml:space="preserve">Okruhy jsou určeny studentům magisterského studia – oboru kulturní antropologie na Katedře sociologie, andragogiky a kulturní antropologie FF UP a jsou orientačním podkladem pro přípravu na státní závěrečnou zkoušku.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25A4D">
            <w:rPr>
              <w:rFonts w:cs="Calibr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9A75C31" wp14:editId="3488A163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Obdélní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6F1F145" id="Obdélník 468" o:spid="_x0000_s1026" style="position:absolute;margin-left:0;margin-top:0;width:244.8pt;height:554.4pt;z-index:25165414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" fillcolor="white [3212]" strokecolor="#757575 [1614]" strokeweight="1.25pt">
                    <v:stroke endcap="round"/>
                    <w10:wrap anchorx="page" anchory="page"/>
                  </v:rect>
                </w:pict>
              </mc:Fallback>
            </mc:AlternateContent>
          </w:r>
          <w:r w:rsidRPr="00425A4D">
            <w:rPr>
              <w:rFonts w:cs="Calibr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427C8" wp14:editId="4C97152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Obdélní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51BFF0" id="Obdélník 469" o:spid="_x0000_s1026" style="position:absolute;margin-left:0;margin-top:0;width:226.45pt;height:9.35pt;z-index:251660288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" fillcolor="#90c226 [3204]" stroked="f" strokeweight="1.5pt">
                    <v:stroke endcap="round"/>
                    <w10:wrap anchorx="page" anchory="page"/>
                  </v:rect>
                </w:pict>
              </mc:Fallback>
            </mc:AlternateContent>
          </w:r>
          <w:r w:rsidRPr="00425A4D">
            <w:rPr>
              <w:rFonts w:cs="Calibr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B141A04" wp14:editId="2D36EDE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ové pol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90C226" w:themeColor="accent1"/>
                                    <w:sz w:val="72"/>
                                    <w:szCs w:val="72"/>
                                  </w:rPr>
                                  <w:alias w:val="Název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76C32F0" w14:textId="4D2EE132" w:rsidR="00E6683C" w:rsidRDefault="00E6683C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90C226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90C226" w:themeColor="accent1"/>
                                        <w:sz w:val="72"/>
                                        <w:szCs w:val="72"/>
                                      </w:rPr>
                                      <w:t>Zkouškové okruhy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2C3C43" w:themeColor="text2"/>
                                    <w:sz w:val="32"/>
                                    <w:szCs w:val="32"/>
                                  </w:rPr>
                                  <w:alias w:val="Podtitul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CEAD198" w14:textId="4BC8CF9B" w:rsidR="00E6683C" w:rsidRDefault="00E6683C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2C3C43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C3C43" w:themeColor="text2"/>
                                        <w:sz w:val="32"/>
                                        <w:szCs w:val="32"/>
                                      </w:rPr>
                                      <w:t>Magisterská státní závěrečná zkouška – obor kulturní antropologie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5B141A04" id="Textové pole 470" o:spid="_x0000_s1029" type="#_x0000_t202" style="position:absolute;left:0;text-align:left;margin-left:0;margin-top:0;width:220.3pt;height:194.9pt;z-index:251658240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90C226" w:themeColor="accent1"/>
                              <w:sz w:val="72"/>
                              <w:szCs w:val="72"/>
                            </w:rPr>
                            <w:alias w:val="Název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76C32F0" w14:textId="4D2EE132" w:rsidR="00E6683C" w:rsidRDefault="00E6683C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90C226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90C226" w:themeColor="accent1"/>
                                  <w:sz w:val="72"/>
                                  <w:szCs w:val="72"/>
                                </w:rPr>
                                <w:t>Zkouškové okruhy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2C3C43" w:themeColor="text2"/>
                              <w:sz w:val="32"/>
                              <w:szCs w:val="32"/>
                            </w:rPr>
                            <w:alias w:val="Podtitul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CEAD198" w14:textId="4BC8CF9B" w:rsidR="00E6683C" w:rsidRDefault="00E6683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3C43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C3C43" w:themeColor="text2"/>
                                  <w:sz w:val="32"/>
                                  <w:szCs w:val="32"/>
                                </w:rPr>
                                <w:t>Magisterská státní závěrečná zkouška – obor kulturní antropologie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52C5F66" w14:textId="174529C9" w:rsidR="00E6683C" w:rsidRPr="00425A4D" w:rsidRDefault="00E6683C" w:rsidP="00814EC7">
          <w:pPr>
            <w:spacing w:after="0" w:line="240" w:lineRule="auto"/>
            <w:jc w:val="both"/>
            <w:rPr>
              <w:rFonts w:cs="Calibri"/>
            </w:rPr>
          </w:pPr>
          <w:r w:rsidRPr="00425A4D">
            <w:rPr>
              <w:rFonts w:cs="Calibri"/>
            </w:rPr>
            <w:br w:type="page"/>
          </w:r>
        </w:p>
      </w:sdtContent>
    </w:sdt>
    <w:p w14:paraId="7AF8F4D7" w14:textId="1746FC6B" w:rsidR="00E6683C" w:rsidRPr="00425A4D" w:rsidRDefault="00E6683C" w:rsidP="00814EC7">
      <w:pPr>
        <w:jc w:val="both"/>
        <w:rPr>
          <w:rFonts w:cs="Calibri"/>
        </w:rPr>
      </w:pPr>
    </w:p>
    <w:p w14:paraId="3231B679" w14:textId="6B285D65" w:rsidR="00E6683C" w:rsidRPr="0095683C" w:rsidRDefault="00152535" w:rsidP="00814EC7">
      <w:pPr>
        <w:pStyle w:val="Nadpis1"/>
        <w:jc w:val="both"/>
        <w:rPr>
          <w:rStyle w:val="Zdraznnintenzivn"/>
        </w:rPr>
      </w:pPr>
      <w:r w:rsidRPr="0095683C">
        <w:rPr>
          <w:rStyle w:val="Zdraznnintenziv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61AD3C" wp14:editId="347C1631">
                <wp:simplePos x="0" y="0"/>
                <wp:positionH relativeFrom="page">
                  <wp:posOffset>899795</wp:posOffset>
                </wp:positionH>
                <wp:positionV relativeFrom="page">
                  <wp:posOffset>9521825</wp:posOffset>
                </wp:positionV>
                <wp:extent cx="5760720" cy="269875"/>
                <wp:effectExtent l="0" t="0" r="0" b="0"/>
                <wp:wrapNone/>
                <wp:docPr id="2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0829A" w14:textId="14B913D1" w:rsidR="00E16974" w:rsidRDefault="00E16974">
                            <w:pPr>
                              <w:pStyle w:val="Podnadpis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 w14:anchorId="3D61AD3C" id="Textové pole 53" o:spid="_x0000_s1030" type="#_x0000_t202" style="position:absolute;left:0;text-align:left;margin-left:70.85pt;margin-top:749.75pt;width:453.6pt;height:21.25pt;z-index:251652096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JJwAIAAMY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" filled="f" stroked="f" strokeweight=".5pt">
                <v:textbox style="mso-fit-shape-to-text:t">
                  <w:txbxContent>
                    <w:p w14:paraId="46E0829A" w14:textId="14B913D1" w:rsidR="00E16974" w:rsidRDefault="00E16974">
                      <w:pPr>
                        <w:pStyle w:val="Podnadpis"/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683C" w:rsidRPr="0095683C">
        <w:rPr>
          <w:rStyle w:val="Zdraznnintenzivn"/>
        </w:rPr>
        <w:t>Pojetí státní závěrečné zkoušky</w:t>
      </w:r>
    </w:p>
    <w:p w14:paraId="504C1285" w14:textId="764B68E0" w:rsidR="00FD4815" w:rsidRPr="005B264D" w:rsidRDefault="00FD4815" w:rsidP="00814EC7">
      <w:pPr>
        <w:pStyle w:val="Normlnweb"/>
        <w:jc w:val="both"/>
        <w:rPr>
          <w:rFonts w:ascii="Calibri" w:hAnsi="Calibri" w:cs="Calibri"/>
          <w:color w:val="000000"/>
        </w:rPr>
      </w:pPr>
      <w:r w:rsidRPr="005B264D">
        <w:rPr>
          <w:rFonts w:ascii="Calibri" w:hAnsi="Calibri" w:cs="Calibri"/>
          <w:color w:val="000000"/>
        </w:rPr>
        <w:t>V prostoru vymezeném pro přípravu si student/ka ujasní myšlenky a načrtne osnovu k prezentacím obou vylosovaných tematických okruhů; délka jedné prezentace by neměla přesáhnout 8 minut. Jelikož jsou tematické okruhy koncipovány široce (kopírují jednotlivé povinné předměty Mgr. studia), vytváří se zde prostor pro značnou autonomii studentů – volí si vlastní koncepci, úhel pohledu</w:t>
      </w:r>
      <w:r w:rsidR="00814EC7">
        <w:rPr>
          <w:rFonts w:ascii="Calibri" w:hAnsi="Calibri" w:cs="Calibri"/>
          <w:color w:val="000000"/>
        </w:rPr>
        <w:t xml:space="preserve"> či</w:t>
      </w:r>
      <w:r w:rsidRPr="005B264D">
        <w:rPr>
          <w:rFonts w:ascii="Calibri" w:hAnsi="Calibri" w:cs="Calibri"/>
          <w:color w:val="000000"/>
        </w:rPr>
        <w:t xml:space="preserve"> </w:t>
      </w:r>
      <w:r w:rsidR="00814EC7">
        <w:rPr>
          <w:rFonts w:ascii="Calibri" w:hAnsi="Calibri" w:cs="Calibri"/>
          <w:color w:val="000000"/>
        </w:rPr>
        <w:t>používanou</w:t>
      </w:r>
      <w:bookmarkStart w:id="0" w:name="_GoBack"/>
      <w:bookmarkEnd w:id="0"/>
      <w:r w:rsidR="00814EC7">
        <w:rPr>
          <w:rFonts w:ascii="Calibri" w:hAnsi="Calibri" w:cs="Calibri"/>
          <w:color w:val="000000"/>
        </w:rPr>
        <w:t xml:space="preserve"> </w:t>
      </w:r>
      <w:r w:rsidRPr="005B264D">
        <w:rPr>
          <w:rFonts w:ascii="Calibri" w:hAnsi="Calibri" w:cs="Calibri"/>
          <w:color w:val="000000"/>
        </w:rPr>
        <w:t>argument</w:t>
      </w:r>
      <w:r w:rsidR="00814EC7">
        <w:rPr>
          <w:rFonts w:ascii="Calibri" w:hAnsi="Calibri" w:cs="Calibri"/>
          <w:color w:val="000000"/>
        </w:rPr>
        <w:t>aci</w:t>
      </w:r>
      <w:r w:rsidRPr="005B264D">
        <w:rPr>
          <w:rFonts w:ascii="Calibri" w:hAnsi="Calibri" w:cs="Calibri"/>
          <w:color w:val="000000"/>
        </w:rPr>
        <w:t>, a to zejména na základě četby odborných textů</w:t>
      </w:r>
      <w:r w:rsidR="00814EC7">
        <w:rPr>
          <w:rFonts w:ascii="Calibri" w:hAnsi="Calibri" w:cs="Calibri"/>
          <w:color w:val="000000"/>
        </w:rPr>
        <w:t>,</w:t>
      </w:r>
      <w:r w:rsidRPr="005B264D">
        <w:rPr>
          <w:rFonts w:ascii="Calibri" w:hAnsi="Calibri" w:cs="Calibri"/>
          <w:color w:val="000000"/>
        </w:rPr>
        <w:t xml:space="preserve"> zkušeností z vlastních antropologických výzkumů a získaných dovedností z dosavadního studia.</w:t>
      </w:r>
      <w:r w:rsidR="00814EC7">
        <w:rPr>
          <w:rFonts w:ascii="Calibri" w:hAnsi="Calibri" w:cs="Calibri"/>
          <w:color w:val="000000"/>
        </w:rPr>
        <w:t xml:space="preserve"> S</w:t>
      </w:r>
      <w:r w:rsidR="00814EC7" w:rsidRPr="005B264D">
        <w:rPr>
          <w:rFonts w:ascii="Calibri" w:hAnsi="Calibri" w:cs="Calibri"/>
          <w:color w:val="000000"/>
        </w:rPr>
        <w:t xml:space="preserve">tudent/ka </w:t>
      </w:r>
      <w:r w:rsidR="00814EC7">
        <w:rPr>
          <w:rFonts w:ascii="Calibri" w:hAnsi="Calibri" w:cs="Calibri"/>
          <w:color w:val="000000"/>
        </w:rPr>
        <w:t>může</w:t>
      </w:r>
      <w:r w:rsidR="00814EC7" w:rsidRPr="005B264D">
        <w:rPr>
          <w:rFonts w:ascii="Calibri" w:hAnsi="Calibri" w:cs="Calibri"/>
          <w:color w:val="000000"/>
        </w:rPr>
        <w:t xml:space="preserve"> při diskusi vycházet kromě doporučené literatury také z vlastních tematicky relevantních odborných zdrojů, k</w:t>
      </w:r>
      <w:r w:rsidR="00814EC7">
        <w:rPr>
          <w:rFonts w:ascii="Calibri" w:hAnsi="Calibri" w:cs="Calibri"/>
          <w:color w:val="000000"/>
        </w:rPr>
        <w:t xml:space="preserve">teré v posledních letech četl/a. </w:t>
      </w:r>
      <w:r w:rsidRPr="005B264D">
        <w:rPr>
          <w:rFonts w:ascii="Calibri" w:hAnsi="Calibri" w:cs="Calibri"/>
          <w:color w:val="000000"/>
        </w:rPr>
        <w:t xml:space="preserve"> Nejde tedy v prvé řadě o prezentaci naučených faktů, ale spíše o jejich interpretaci či kritickou reflexi a prezentování vlastního, svébytného pohledu na zkoumaný problém.</w:t>
      </w:r>
    </w:p>
    <w:p w14:paraId="116F62DE" w14:textId="77777777" w:rsidR="00FD4815" w:rsidRPr="005B264D" w:rsidRDefault="00FD4815" w:rsidP="00814EC7">
      <w:pPr>
        <w:pStyle w:val="Normlnweb"/>
        <w:jc w:val="both"/>
        <w:rPr>
          <w:rFonts w:ascii="Calibri" w:hAnsi="Calibri" w:cs="Calibri"/>
          <w:color w:val="000000"/>
        </w:rPr>
      </w:pPr>
      <w:r w:rsidRPr="005B264D">
        <w:rPr>
          <w:rFonts w:ascii="Calibri" w:hAnsi="Calibri" w:cs="Calibri"/>
          <w:color w:val="000000"/>
        </w:rPr>
        <w:t>Forma státní zkoušky je dialogická; komise nevystupuje pouze v roli posluchače, ale pokládá doplňující otázky a komentáře.</w:t>
      </w:r>
    </w:p>
    <w:p w14:paraId="56ED97B1" w14:textId="5EC1EA72" w:rsidR="0040542C" w:rsidRPr="00425A4D" w:rsidRDefault="0040542C" w:rsidP="00814EC7">
      <w:pPr>
        <w:jc w:val="both"/>
        <w:rPr>
          <w:rFonts w:eastAsia="Times New Roman" w:cs="Calibri"/>
          <w:b/>
          <w:lang w:eastAsia="cs-CZ"/>
        </w:rPr>
      </w:pPr>
      <w:r w:rsidRPr="00425A4D">
        <w:rPr>
          <w:rFonts w:cs="Calibri"/>
          <w:b/>
        </w:rPr>
        <w:br w:type="page"/>
      </w:r>
    </w:p>
    <w:p w14:paraId="07417986" w14:textId="6619D1B6" w:rsidR="00E6683C" w:rsidRPr="0095683C" w:rsidRDefault="00E6683C" w:rsidP="00814EC7">
      <w:pPr>
        <w:pStyle w:val="Nadpis1"/>
        <w:jc w:val="both"/>
        <w:rPr>
          <w:rStyle w:val="Zdraznnintenzivn"/>
        </w:rPr>
      </w:pPr>
      <w:r w:rsidRPr="0095683C">
        <w:rPr>
          <w:rStyle w:val="Zdraznnintenzivn"/>
        </w:rPr>
        <w:lastRenderedPageBreak/>
        <w:t xml:space="preserve">Historie a teorie antropologie  </w:t>
      </w:r>
    </w:p>
    <w:p w14:paraId="51E06D26" w14:textId="77777777" w:rsidR="00425A4D" w:rsidRPr="00425A4D" w:rsidRDefault="00425A4D" w:rsidP="00814EC7">
      <w:pPr>
        <w:jc w:val="both"/>
        <w:rPr>
          <w:rFonts w:cs="Calibri"/>
        </w:rPr>
      </w:pPr>
    </w:p>
    <w:p w14:paraId="7811EB8A" w14:textId="1DFA8F43" w:rsidR="00E6683C" w:rsidRPr="00814EC7" w:rsidRDefault="00E6683C" w:rsidP="00814EC7">
      <w:pPr>
        <w:numPr>
          <w:ilvl w:val="0"/>
          <w:numId w:val="19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sz w:val="24"/>
          <w:szCs w:val="24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>Historie a teorie antropologického myšlení</w:t>
      </w:r>
    </w:p>
    <w:p w14:paraId="5F67543A" w14:textId="02549BC0" w:rsidR="00E6683C" w:rsidRPr="00814EC7" w:rsidRDefault="00E6683C" w:rsidP="00814EC7">
      <w:pPr>
        <w:numPr>
          <w:ilvl w:val="0"/>
          <w:numId w:val="19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sz w:val="24"/>
          <w:szCs w:val="24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>Teorie a metodologie vědy v antropologii</w:t>
      </w:r>
    </w:p>
    <w:p w14:paraId="28C89F07" w14:textId="41875175" w:rsidR="00E6683C" w:rsidRPr="00814EC7" w:rsidRDefault="00E6683C" w:rsidP="00814EC7">
      <w:pPr>
        <w:numPr>
          <w:ilvl w:val="0"/>
          <w:numId w:val="19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color w:val="323130"/>
          <w:sz w:val="24"/>
          <w:szCs w:val="24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 xml:space="preserve">Sociální konstrukce reality  </w:t>
      </w:r>
    </w:p>
    <w:p w14:paraId="1DEB949F" w14:textId="56B8CF16" w:rsidR="00FD4815" w:rsidRPr="00814EC7" w:rsidRDefault="0032053F" w:rsidP="00814EC7">
      <w:pPr>
        <w:numPr>
          <w:ilvl w:val="0"/>
          <w:numId w:val="19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sz w:val="24"/>
          <w:szCs w:val="24"/>
        </w:rPr>
      </w:pPr>
      <w:r w:rsidRPr="00814EC7">
        <w:rPr>
          <w:rFonts w:cs="Calibri"/>
          <w:b/>
          <w:color w:val="000000"/>
          <w:sz w:val="24"/>
          <w:szCs w:val="24"/>
          <w:shd w:val="clear" w:color="auto" w:fill="FFFFFF"/>
        </w:rPr>
        <w:t>Současné antropologické přístupy a trendy</w:t>
      </w:r>
    </w:p>
    <w:p w14:paraId="1F719B13" w14:textId="49174CD6" w:rsidR="00E6683C" w:rsidRPr="00814EC7" w:rsidRDefault="00E6683C" w:rsidP="00814EC7">
      <w:pPr>
        <w:numPr>
          <w:ilvl w:val="0"/>
          <w:numId w:val="19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sz w:val="24"/>
          <w:szCs w:val="24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>Kognitivní vědy</w:t>
      </w:r>
    </w:p>
    <w:p w14:paraId="2FA76618" w14:textId="77777777" w:rsidR="00E6683C" w:rsidRPr="00814EC7" w:rsidRDefault="00E6683C" w:rsidP="00814EC7">
      <w:pPr>
        <w:jc w:val="both"/>
        <w:rPr>
          <w:rFonts w:cs="Calibri"/>
          <w:sz w:val="24"/>
          <w:szCs w:val="24"/>
          <w:u w:val="single"/>
        </w:rPr>
      </w:pPr>
    </w:p>
    <w:p w14:paraId="44B85568" w14:textId="21DA2A46" w:rsidR="00E6683C" w:rsidRPr="00814EC7" w:rsidRDefault="001A2638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  <w:u w:val="single"/>
        </w:rPr>
        <w:t>Doporučená l</w:t>
      </w:r>
      <w:r w:rsidR="00E6683C" w:rsidRPr="00814EC7">
        <w:rPr>
          <w:rFonts w:cs="Calibri"/>
          <w:sz w:val="24"/>
          <w:szCs w:val="24"/>
          <w:u w:val="single"/>
        </w:rPr>
        <w:t>iteratura</w:t>
      </w:r>
      <w:r w:rsidR="00E6683C" w:rsidRPr="00814EC7">
        <w:rPr>
          <w:rFonts w:cs="Calibri"/>
          <w:sz w:val="24"/>
          <w:szCs w:val="24"/>
        </w:rPr>
        <w:t xml:space="preserve">: </w:t>
      </w:r>
    </w:p>
    <w:p w14:paraId="47E6CC48" w14:textId="77777777" w:rsidR="00425A4D" w:rsidRPr="00814EC7" w:rsidRDefault="00425A4D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Barnard, A. (2000). </w:t>
      </w:r>
      <w:r w:rsidRPr="00814EC7">
        <w:rPr>
          <w:rFonts w:cs="Calibri"/>
          <w:i/>
          <w:iCs/>
          <w:sz w:val="24"/>
          <w:szCs w:val="24"/>
        </w:rPr>
        <w:t>History and Theory in Anthropology</w:t>
      </w:r>
      <w:r w:rsidRPr="00814EC7">
        <w:rPr>
          <w:rFonts w:cs="Calibri"/>
          <w:sz w:val="24"/>
          <w:szCs w:val="24"/>
        </w:rPr>
        <w:t>. Cambridge: Cambridge University Press.</w:t>
      </w:r>
    </w:p>
    <w:p w14:paraId="24856491" w14:textId="74229F6E" w:rsidR="00E56952" w:rsidRPr="00814EC7" w:rsidRDefault="00E56952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Barth, F. – Gingrich, A. – Parkin, R. </w:t>
      </w:r>
      <w:r w:rsidR="00E1784D" w:rsidRPr="00814EC7">
        <w:rPr>
          <w:rFonts w:cs="Calibri"/>
          <w:sz w:val="24"/>
          <w:szCs w:val="24"/>
        </w:rPr>
        <w:t xml:space="preserve">&amp; </w:t>
      </w:r>
      <w:r w:rsidRPr="00814EC7">
        <w:rPr>
          <w:rFonts w:cs="Calibri"/>
          <w:sz w:val="24"/>
          <w:szCs w:val="24"/>
        </w:rPr>
        <w:t xml:space="preserve">Silverman, S. (2005). </w:t>
      </w:r>
      <w:r w:rsidRPr="00814EC7">
        <w:rPr>
          <w:rFonts w:cs="Calibri"/>
          <w:i/>
          <w:iCs/>
          <w:sz w:val="24"/>
          <w:szCs w:val="24"/>
        </w:rPr>
        <w:t>One Discipline, Four Ways. British, Germ</w:t>
      </w:r>
      <w:r w:rsidR="00E1784D" w:rsidRPr="00814EC7">
        <w:rPr>
          <w:rFonts w:cs="Calibri"/>
          <w:i/>
          <w:iCs/>
          <w:sz w:val="24"/>
          <w:szCs w:val="24"/>
        </w:rPr>
        <w:t>an</w:t>
      </w:r>
      <w:r w:rsidRPr="00814EC7">
        <w:rPr>
          <w:rFonts w:cs="Calibri"/>
          <w:i/>
          <w:iCs/>
          <w:sz w:val="24"/>
          <w:szCs w:val="24"/>
        </w:rPr>
        <w:t>, French, and American Anthropology</w:t>
      </w:r>
      <w:r w:rsidRPr="00814EC7">
        <w:rPr>
          <w:rFonts w:cs="Calibri"/>
          <w:sz w:val="24"/>
          <w:szCs w:val="24"/>
        </w:rPr>
        <w:t xml:space="preserve">. Chicago </w:t>
      </w:r>
      <w:r w:rsidR="00E1784D" w:rsidRPr="00814EC7">
        <w:rPr>
          <w:rFonts w:cs="Calibri"/>
          <w:sz w:val="24"/>
          <w:szCs w:val="24"/>
        </w:rPr>
        <w:t>&amp;</w:t>
      </w:r>
      <w:r w:rsidRPr="00814EC7">
        <w:rPr>
          <w:rFonts w:cs="Calibri"/>
          <w:sz w:val="24"/>
          <w:szCs w:val="24"/>
        </w:rPr>
        <w:t xml:space="preserve"> London: University of Chicago Press.</w:t>
      </w:r>
    </w:p>
    <w:p w14:paraId="22DE0411" w14:textId="31A86708" w:rsidR="00425A4D" w:rsidRPr="00814EC7" w:rsidRDefault="4714D729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Berger, P. L. &amp; Luckman, T. (1999). </w:t>
      </w:r>
      <w:r w:rsidRPr="00814EC7">
        <w:rPr>
          <w:rFonts w:cs="Calibri"/>
          <w:i/>
          <w:iCs/>
          <w:sz w:val="24"/>
          <w:szCs w:val="24"/>
        </w:rPr>
        <w:t>Sociální konstrukce reality</w:t>
      </w:r>
      <w:r w:rsidRPr="00814EC7">
        <w:rPr>
          <w:rFonts w:cs="Calibri"/>
          <w:sz w:val="24"/>
          <w:szCs w:val="24"/>
        </w:rPr>
        <w:t>. Brno: CDK.</w:t>
      </w:r>
    </w:p>
    <w:p w14:paraId="5B34121A" w14:textId="63ACE3A5" w:rsidR="0032053F" w:rsidRPr="00814EC7" w:rsidRDefault="0032053F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  <w:shd w:val="clear" w:color="auto" w:fill="FFFFFF"/>
        </w:rPr>
        <w:t xml:space="preserve">Bloch, M. (2012). </w:t>
      </w:r>
      <w:r w:rsidRPr="00814EC7">
        <w:rPr>
          <w:rFonts w:cs="Calibri"/>
          <w:i/>
          <w:iCs/>
          <w:sz w:val="24"/>
          <w:szCs w:val="24"/>
          <w:shd w:val="clear" w:color="auto" w:fill="FFFFFF"/>
        </w:rPr>
        <w:t>Anthropology and the Cognitive Challenge</w:t>
      </w:r>
      <w:r w:rsidRPr="00814EC7">
        <w:rPr>
          <w:rFonts w:cs="Calibri"/>
          <w:sz w:val="24"/>
          <w:szCs w:val="24"/>
          <w:shd w:val="clear" w:color="auto" w:fill="FFFFFF"/>
        </w:rPr>
        <w:t>. Cambridge: Cambridge University Press.</w:t>
      </w:r>
    </w:p>
    <w:p w14:paraId="2212C20D" w14:textId="065A6DB7" w:rsidR="00E56952" w:rsidRPr="00814EC7" w:rsidRDefault="00E56952" w:rsidP="00814EC7">
      <w:pPr>
        <w:jc w:val="both"/>
        <w:rPr>
          <w:rFonts w:cs="Calibri"/>
          <w:sz w:val="24"/>
          <w:szCs w:val="24"/>
          <w:shd w:val="clear" w:color="auto" w:fill="FFFFFF"/>
        </w:rPr>
      </w:pPr>
      <w:r w:rsidRPr="00814EC7">
        <w:rPr>
          <w:rFonts w:cs="Calibri"/>
          <w:sz w:val="24"/>
          <w:szCs w:val="24"/>
          <w:shd w:val="clear" w:color="auto" w:fill="FFFFFF"/>
        </w:rPr>
        <w:t>Boškovič, A. (2010). </w:t>
      </w:r>
      <w:r w:rsidRPr="00814EC7">
        <w:rPr>
          <w:rFonts w:cs="Calibri"/>
          <w:i/>
          <w:iCs/>
          <w:sz w:val="24"/>
          <w:szCs w:val="24"/>
          <w:shd w:val="clear" w:color="auto" w:fill="FFFFFF"/>
        </w:rPr>
        <w:t>Other people´s anthropologies. Ethnographic practice on the margins.</w:t>
      </w:r>
      <w:r w:rsidRPr="00814EC7">
        <w:rPr>
          <w:rFonts w:cs="Calibri"/>
          <w:sz w:val="24"/>
          <w:szCs w:val="24"/>
          <w:shd w:val="clear" w:color="auto" w:fill="FFFFFF"/>
        </w:rPr>
        <w:t xml:space="preserve"> </w:t>
      </w:r>
      <w:r w:rsidR="0032616F" w:rsidRPr="00814EC7">
        <w:rPr>
          <w:rFonts w:cs="Calibri"/>
          <w:sz w:val="24"/>
          <w:szCs w:val="24"/>
        </w:rPr>
        <w:t xml:space="preserve">New York &amp; Oxford: </w:t>
      </w:r>
      <w:r w:rsidRPr="00814EC7">
        <w:rPr>
          <w:rFonts w:cs="Calibri"/>
          <w:sz w:val="24"/>
          <w:szCs w:val="24"/>
          <w:shd w:val="clear" w:color="auto" w:fill="FFFFFF"/>
        </w:rPr>
        <w:t>Berghahn Books.</w:t>
      </w:r>
    </w:p>
    <w:p w14:paraId="2BCA75D9" w14:textId="3A6DBF5D" w:rsidR="00E56952" w:rsidRPr="00814EC7" w:rsidRDefault="00E56952" w:rsidP="00814EC7">
      <w:pPr>
        <w:jc w:val="both"/>
        <w:rPr>
          <w:rFonts w:cs="Calibri"/>
          <w:sz w:val="24"/>
          <w:szCs w:val="24"/>
          <w:shd w:val="clear" w:color="auto" w:fill="FFFFFF"/>
        </w:rPr>
      </w:pPr>
      <w:r w:rsidRPr="00814EC7">
        <w:rPr>
          <w:rFonts w:cs="Calibri"/>
          <w:sz w:val="24"/>
          <w:szCs w:val="24"/>
          <w:shd w:val="clear" w:color="auto" w:fill="FFFFFF"/>
        </w:rPr>
        <w:t>Burawoy, M. et al. (2000). </w:t>
      </w:r>
      <w:r w:rsidRPr="00814EC7">
        <w:rPr>
          <w:rFonts w:cs="Calibri"/>
          <w:i/>
          <w:iCs/>
          <w:sz w:val="24"/>
          <w:szCs w:val="24"/>
          <w:shd w:val="clear" w:color="auto" w:fill="FFFFFF"/>
        </w:rPr>
        <w:t>Global ethnography: forces, connections, and imaginations in a postmodern world.</w:t>
      </w:r>
      <w:r w:rsidRPr="00814EC7">
        <w:rPr>
          <w:rFonts w:cs="Calibri"/>
          <w:sz w:val="24"/>
          <w:szCs w:val="24"/>
          <w:shd w:val="clear" w:color="auto" w:fill="FFFFFF"/>
        </w:rPr>
        <w:t xml:space="preserve"> </w:t>
      </w:r>
      <w:r w:rsidR="0032616F" w:rsidRPr="00814EC7">
        <w:rPr>
          <w:rFonts w:cs="Calibri"/>
          <w:sz w:val="24"/>
          <w:szCs w:val="24"/>
          <w:shd w:val="clear" w:color="auto" w:fill="FFFFFF"/>
        </w:rPr>
        <w:t xml:space="preserve">Berkley: </w:t>
      </w:r>
      <w:r w:rsidRPr="00814EC7">
        <w:rPr>
          <w:rFonts w:cs="Calibri"/>
          <w:sz w:val="24"/>
          <w:szCs w:val="24"/>
          <w:shd w:val="clear" w:color="auto" w:fill="FFFFFF"/>
        </w:rPr>
        <w:t>University of California Press.</w:t>
      </w:r>
    </w:p>
    <w:p w14:paraId="5893458A" w14:textId="5468CF04" w:rsidR="4714D729" w:rsidRPr="00814EC7" w:rsidRDefault="4714D729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eastAsia="Tahoma" w:cs="Calibri"/>
          <w:sz w:val="24"/>
          <w:szCs w:val="24"/>
        </w:rPr>
        <w:t>Cervinkov</w:t>
      </w:r>
      <w:r w:rsidR="00E56952" w:rsidRPr="00814EC7">
        <w:rPr>
          <w:rFonts w:eastAsia="Tahoma" w:cs="Calibri"/>
          <w:sz w:val="24"/>
          <w:szCs w:val="24"/>
        </w:rPr>
        <w:t>a</w:t>
      </w:r>
      <w:r w:rsidRPr="00814EC7">
        <w:rPr>
          <w:rFonts w:eastAsia="Tahoma" w:cs="Calibri"/>
          <w:sz w:val="24"/>
          <w:szCs w:val="24"/>
        </w:rPr>
        <w:t>, H.</w:t>
      </w:r>
      <w:r w:rsidR="00E1784D" w:rsidRPr="00814EC7">
        <w:rPr>
          <w:rFonts w:eastAsia="Tahoma" w:cs="Calibri"/>
          <w:sz w:val="24"/>
          <w:szCs w:val="24"/>
        </w:rPr>
        <w:t xml:space="preserve"> -</w:t>
      </w:r>
      <w:r w:rsidRPr="00814EC7">
        <w:rPr>
          <w:rFonts w:eastAsia="Tahoma" w:cs="Calibri"/>
          <w:sz w:val="24"/>
          <w:szCs w:val="24"/>
        </w:rPr>
        <w:t xml:space="preserve"> Buchowski, M.</w:t>
      </w:r>
      <w:r w:rsidR="00E1784D" w:rsidRPr="00814EC7">
        <w:rPr>
          <w:rFonts w:eastAsia="Tahoma" w:cs="Calibri"/>
          <w:sz w:val="24"/>
          <w:szCs w:val="24"/>
        </w:rPr>
        <w:t xml:space="preserve"> </w:t>
      </w:r>
      <w:r w:rsidR="00E1784D" w:rsidRPr="00814EC7">
        <w:rPr>
          <w:rFonts w:cs="Calibri"/>
          <w:sz w:val="24"/>
          <w:szCs w:val="24"/>
        </w:rPr>
        <w:t>&amp;</w:t>
      </w:r>
      <w:r w:rsidRPr="00814EC7">
        <w:rPr>
          <w:rFonts w:eastAsia="Tahoma" w:cs="Calibri"/>
          <w:sz w:val="24"/>
          <w:szCs w:val="24"/>
        </w:rPr>
        <w:t xml:space="preserve"> Uherek, Z. (2015). </w:t>
      </w:r>
      <w:r w:rsidRPr="00814EC7">
        <w:rPr>
          <w:rFonts w:eastAsia="Tahoma" w:cs="Calibri"/>
          <w:i/>
          <w:iCs/>
          <w:sz w:val="24"/>
          <w:szCs w:val="24"/>
        </w:rPr>
        <w:t>Rethinking Ethnography in Central Europe.</w:t>
      </w:r>
      <w:r w:rsidRPr="00814EC7">
        <w:rPr>
          <w:rFonts w:eastAsia="Tahoma" w:cs="Calibri"/>
          <w:sz w:val="24"/>
          <w:szCs w:val="24"/>
        </w:rPr>
        <w:t xml:space="preserve"> </w:t>
      </w:r>
      <w:r w:rsidR="0032616F" w:rsidRPr="00814EC7">
        <w:rPr>
          <w:rFonts w:eastAsia="Tahoma" w:cs="Calibri"/>
          <w:sz w:val="24"/>
          <w:szCs w:val="24"/>
        </w:rPr>
        <w:t xml:space="preserve">London: </w:t>
      </w:r>
      <w:r w:rsidRPr="00814EC7">
        <w:rPr>
          <w:rFonts w:eastAsia="Tahoma" w:cs="Calibri"/>
          <w:sz w:val="24"/>
          <w:szCs w:val="24"/>
        </w:rPr>
        <w:t>Palgrave Macmillan.</w:t>
      </w:r>
    </w:p>
    <w:p w14:paraId="6E867FB3" w14:textId="6AF519FC" w:rsidR="001A2638" w:rsidRPr="00814EC7" w:rsidRDefault="001A2638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Eriksen, T. H. </w:t>
      </w:r>
      <w:r w:rsidR="00E1784D" w:rsidRPr="00814EC7">
        <w:rPr>
          <w:rFonts w:cs="Calibri"/>
          <w:sz w:val="24"/>
          <w:szCs w:val="24"/>
        </w:rPr>
        <w:t>(</w:t>
      </w:r>
      <w:r w:rsidRPr="00814EC7">
        <w:rPr>
          <w:rFonts w:cs="Calibri"/>
          <w:sz w:val="24"/>
          <w:szCs w:val="24"/>
        </w:rPr>
        <w:t>2012</w:t>
      </w:r>
      <w:r w:rsidR="00E1784D" w:rsidRPr="00814EC7">
        <w:rPr>
          <w:rFonts w:cs="Calibri"/>
          <w:sz w:val="24"/>
          <w:szCs w:val="24"/>
        </w:rPr>
        <w:t>)</w:t>
      </w:r>
      <w:r w:rsidRPr="00814EC7">
        <w:rPr>
          <w:rFonts w:cs="Calibri"/>
          <w:sz w:val="24"/>
          <w:szCs w:val="24"/>
        </w:rPr>
        <w:t xml:space="preserve">. </w:t>
      </w:r>
      <w:r w:rsidRPr="00814EC7">
        <w:rPr>
          <w:rFonts w:cs="Calibri"/>
          <w:i/>
          <w:sz w:val="24"/>
          <w:szCs w:val="24"/>
        </w:rPr>
        <w:t xml:space="preserve">Etnicita a nacionalismus. </w:t>
      </w:r>
      <w:r w:rsidRPr="00814EC7">
        <w:rPr>
          <w:rFonts w:cs="Calibri"/>
          <w:sz w:val="24"/>
          <w:szCs w:val="24"/>
        </w:rPr>
        <w:t xml:space="preserve">Praha: Slon. </w:t>
      </w:r>
    </w:p>
    <w:p w14:paraId="55B1BF3A" w14:textId="563313F6" w:rsidR="001A2638" w:rsidRPr="00814EC7" w:rsidRDefault="001A2638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Feyerabend, P. K. (2001) </w:t>
      </w:r>
      <w:r w:rsidRPr="00814EC7">
        <w:rPr>
          <w:rFonts w:cs="Calibri"/>
          <w:i/>
          <w:iCs/>
          <w:sz w:val="24"/>
          <w:szCs w:val="24"/>
        </w:rPr>
        <w:t>Rozprava proti metodě</w:t>
      </w:r>
      <w:r w:rsidRPr="00814EC7">
        <w:rPr>
          <w:rFonts w:cs="Calibri"/>
          <w:sz w:val="24"/>
          <w:szCs w:val="24"/>
        </w:rPr>
        <w:t>. Praha: Aurora.</w:t>
      </w:r>
    </w:p>
    <w:p w14:paraId="0091AB19" w14:textId="53931E46" w:rsidR="00E56952" w:rsidRPr="00814EC7" w:rsidRDefault="00E56952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Fox, R. G. </w:t>
      </w:r>
      <w:r w:rsidR="00E1784D" w:rsidRPr="00814EC7">
        <w:rPr>
          <w:rFonts w:cs="Calibri"/>
          <w:sz w:val="24"/>
          <w:szCs w:val="24"/>
        </w:rPr>
        <w:t>&amp;</w:t>
      </w:r>
      <w:r w:rsidRPr="00814EC7">
        <w:rPr>
          <w:rFonts w:cs="Calibri"/>
          <w:sz w:val="24"/>
          <w:szCs w:val="24"/>
        </w:rPr>
        <w:t xml:space="preserve"> King, B. J. (eds.) (2002)</w:t>
      </w:r>
      <w:r w:rsidR="00E1784D" w:rsidRPr="00814EC7">
        <w:rPr>
          <w:rFonts w:cs="Calibri"/>
          <w:sz w:val="24"/>
          <w:szCs w:val="24"/>
        </w:rPr>
        <w:t xml:space="preserve">. </w:t>
      </w:r>
      <w:r w:rsidR="00E1784D" w:rsidRPr="00814EC7">
        <w:rPr>
          <w:rFonts w:cs="Calibri"/>
          <w:i/>
          <w:iCs/>
          <w:sz w:val="24"/>
          <w:szCs w:val="24"/>
        </w:rPr>
        <w:t>Anthropology Beyond Culture</w:t>
      </w:r>
      <w:r w:rsidR="00E1784D" w:rsidRPr="00814EC7">
        <w:rPr>
          <w:rFonts w:cs="Calibri"/>
          <w:sz w:val="24"/>
          <w:szCs w:val="24"/>
        </w:rPr>
        <w:t xml:space="preserve">. Oxford </w:t>
      </w:r>
      <w:r w:rsidR="005B264D" w:rsidRPr="00814EC7">
        <w:rPr>
          <w:rFonts w:cs="Calibri"/>
          <w:sz w:val="24"/>
          <w:szCs w:val="24"/>
        </w:rPr>
        <w:t>&amp;</w:t>
      </w:r>
      <w:r w:rsidR="00E1784D" w:rsidRPr="00814EC7">
        <w:rPr>
          <w:rFonts w:cs="Calibri"/>
          <w:sz w:val="24"/>
          <w:szCs w:val="24"/>
        </w:rPr>
        <w:t xml:space="preserve"> New York: Berg.</w:t>
      </w:r>
    </w:p>
    <w:p w14:paraId="1F01FF98" w14:textId="1AD98AD8" w:rsidR="001A2638" w:rsidRPr="00814EC7" w:rsidRDefault="001A2638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>Gadamer, H. G. (2010)</w:t>
      </w:r>
      <w:r w:rsidR="00E1784D" w:rsidRPr="00814EC7">
        <w:rPr>
          <w:rFonts w:cs="Calibri"/>
          <w:sz w:val="24"/>
          <w:szCs w:val="24"/>
        </w:rPr>
        <w:t>.</w:t>
      </w:r>
      <w:r w:rsidRPr="00814EC7">
        <w:rPr>
          <w:rFonts w:cs="Calibri"/>
          <w:sz w:val="24"/>
          <w:szCs w:val="24"/>
        </w:rPr>
        <w:t xml:space="preserve"> </w:t>
      </w:r>
      <w:r w:rsidRPr="00814EC7">
        <w:rPr>
          <w:rFonts w:cs="Calibri"/>
          <w:i/>
          <w:iCs/>
          <w:sz w:val="24"/>
          <w:szCs w:val="24"/>
        </w:rPr>
        <w:t>Pravda a metoda I. Nárys filosofické hermeneutiky</w:t>
      </w:r>
      <w:r w:rsidRPr="00814EC7">
        <w:rPr>
          <w:rFonts w:cs="Calibri"/>
          <w:sz w:val="24"/>
          <w:szCs w:val="24"/>
        </w:rPr>
        <w:t>. Praha: Triáda.</w:t>
      </w:r>
    </w:p>
    <w:p w14:paraId="705AFFC9" w14:textId="6A5294AF" w:rsidR="001A2638" w:rsidRPr="00814EC7" w:rsidRDefault="001A2638" w:rsidP="00814EC7">
      <w:pPr>
        <w:jc w:val="both"/>
        <w:rPr>
          <w:rFonts w:cs="Calibri"/>
          <w:sz w:val="24"/>
          <w:szCs w:val="24"/>
          <w:shd w:val="clear" w:color="auto" w:fill="FFFFFF"/>
        </w:rPr>
      </w:pPr>
      <w:r w:rsidRPr="00814EC7">
        <w:rPr>
          <w:rFonts w:cs="Calibri"/>
          <w:sz w:val="24"/>
          <w:szCs w:val="24"/>
          <w:shd w:val="clear" w:color="auto" w:fill="FFFFFF"/>
        </w:rPr>
        <w:t xml:space="preserve">Hann, Chris M. (ed.) (2002). </w:t>
      </w:r>
      <w:r w:rsidRPr="00814EC7">
        <w:rPr>
          <w:rFonts w:cs="Calibri"/>
          <w:i/>
          <w:iCs/>
          <w:sz w:val="24"/>
          <w:szCs w:val="24"/>
          <w:shd w:val="clear" w:color="auto" w:fill="FFFFFF"/>
        </w:rPr>
        <w:t>Postsocialism: Ideals, ideologies and practices in Eurasia</w:t>
      </w:r>
      <w:r w:rsidRPr="00814EC7">
        <w:rPr>
          <w:rFonts w:cs="Calibri"/>
          <w:sz w:val="24"/>
          <w:szCs w:val="24"/>
          <w:shd w:val="clear" w:color="auto" w:fill="FFFFFF"/>
        </w:rPr>
        <w:t>. London: Routledge.</w:t>
      </w:r>
    </w:p>
    <w:p w14:paraId="272A6FAC" w14:textId="141BAE53" w:rsidR="001A2638" w:rsidRPr="00814EC7" w:rsidRDefault="001A2638" w:rsidP="00814EC7">
      <w:pPr>
        <w:spacing w:after="0" w:line="240" w:lineRule="auto"/>
        <w:jc w:val="both"/>
        <w:rPr>
          <w:rFonts w:eastAsia="Tahoma" w:cs="Calibri"/>
          <w:sz w:val="24"/>
          <w:szCs w:val="24"/>
        </w:rPr>
      </w:pPr>
      <w:r w:rsidRPr="00814EC7">
        <w:rPr>
          <w:rFonts w:eastAsia="Tahoma" w:cs="Calibri"/>
          <w:sz w:val="24"/>
          <w:szCs w:val="24"/>
        </w:rPr>
        <w:t xml:space="preserve">Hannerz, U. (2010). </w:t>
      </w:r>
      <w:r w:rsidR="00E1784D" w:rsidRPr="00814EC7">
        <w:rPr>
          <w:rFonts w:eastAsia="Tahoma" w:cs="Calibri"/>
          <w:i/>
          <w:iCs/>
          <w:sz w:val="24"/>
          <w:szCs w:val="24"/>
        </w:rPr>
        <w:t>Anthropology´s World</w:t>
      </w:r>
      <w:r w:rsidRPr="00814EC7">
        <w:rPr>
          <w:rFonts w:eastAsia="Tahoma" w:cs="Calibri"/>
          <w:i/>
          <w:iCs/>
          <w:sz w:val="24"/>
          <w:szCs w:val="24"/>
        </w:rPr>
        <w:t>: life in a twenty-first-century discipline</w:t>
      </w:r>
      <w:r w:rsidRPr="00814EC7">
        <w:rPr>
          <w:rFonts w:eastAsia="Tahoma" w:cs="Calibri"/>
          <w:sz w:val="24"/>
          <w:szCs w:val="24"/>
        </w:rPr>
        <w:t>. Pluto Press.</w:t>
      </w:r>
    </w:p>
    <w:p w14:paraId="7EA789A0" w14:textId="77777777" w:rsidR="001A2638" w:rsidRPr="00814EC7" w:rsidRDefault="001A2638" w:rsidP="00814EC7">
      <w:pPr>
        <w:spacing w:after="0" w:line="240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220ADF8B" w14:textId="74956EB4" w:rsidR="001A2638" w:rsidRPr="00814EC7" w:rsidRDefault="001A2638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eastAsia="Tahoma" w:cs="Calibri"/>
          <w:sz w:val="24"/>
          <w:szCs w:val="24"/>
        </w:rPr>
        <w:t xml:space="preserve">Horáková, H. (2012). </w:t>
      </w:r>
      <w:r w:rsidRPr="00814EC7">
        <w:rPr>
          <w:rFonts w:eastAsia="Tahoma" w:cs="Calibri"/>
          <w:i/>
          <w:iCs/>
          <w:sz w:val="24"/>
          <w:szCs w:val="24"/>
        </w:rPr>
        <w:t>Kultura jako všelék</w:t>
      </w:r>
      <w:r w:rsidRPr="00814EC7">
        <w:rPr>
          <w:rFonts w:eastAsia="Tahoma" w:cs="Calibri"/>
          <w:sz w:val="24"/>
          <w:szCs w:val="24"/>
        </w:rPr>
        <w:t>. Praha: S</w:t>
      </w:r>
      <w:r w:rsidR="005B264D" w:rsidRPr="00814EC7">
        <w:rPr>
          <w:rFonts w:eastAsia="Tahoma" w:cs="Calibri"/>
          <w:sz w:val="24"/>
          <w:szCs w:val="24"/>
        </w:rPr>
        <w:t>lon</w:t>
      </w:r>
      <w:r w:rsidRPr="00814EC7">
        <w:rPr>
          <w:rFonts w:eastAsia="Tahoma" w:cs="Calibri"/>
          <w:sz w:val="24"/>
          <w:szCs w:val="24"/>
        </w:rPr>
        <w:t>.</w:t>
      </w:r>
    </w:p>
    <w:p w14:paraId="7F187555" w14:textId="685A4127" w:rsidR="001A2638" w:rsidRPr="00814EC7" w:rsidRDefault="001A2638" w:rsidP="00814EC7">
      <w:pPr>
        <w:pStyle w:val="Odstavecseseznamem"/>
        <w:ind w:left="0"/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Hroch, M. (ed.). 2003. </w:t>
      </w:r>
      <w:r w:rsidRPr="00814EC7">
        <w:rPr>
          <w:rFonts w:cs="Calibri"/>
          <w:i/>
          <w:iCs/>
          <w:sz w:val="24"/>
          <w:szCs w:val="24"/>
        </w:rPr>
        <w:t>Pohledy na národ a nacionalismus</w:t>
      </w:r>
      <w:r w:rsidRPr="00814EC7">
        <w:rPr>
          <w:rFonts w:cs="Calibri"/>
          <w:sz w:val="24"/>
          <w:szCs w:val="24"/>
        </w:rPr>
        <w:t>. Praha: Slon.</w:t>
      </w:r>
    </w:p>
    <w:p w14:paraId="53BC944D" w14:textId="75563082" w:rsidR="001A2638" w:rsidRPr="00814EC7" w:rsidRDefault="001A2638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Jakoubek, M. (ed.). 2016. </w:t>
      </w:r>
      <w:r w:rsidRPr="00814EC7">
        <w:rPr>
          <w:rFonts w:cs="Calibri"/>
          <w:i/>
          <w:sz w:val="24"/>
          <w:szCs w:val="24"/>
        </w:rPr>
        <w:t>Teorie etnicity. Čítanka textů</w:t>
      </w:r>
      <w:r w:rsidRPr="00814EC7">
        <w:rPr>
          <w:rFonts w:cs="Calibri"/>
          <w:sz w:val="24"/>
          <w:szCs w:val="24"/>
        </w:rPr>
        <w:t xml:space="preserve">. Praha: Slon. </w:t>
      </w:r>
    </w:p>
    <w:p w14:paraId="09221B97" w14:textId="3C70E931" w:rsidR="001A2638" w:rsidRPr="00814EC7" w:rsidRDefault="001A2638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Kuper, A. (1999). </w:t>
      </w:r>
      <w:r w:rsidRPr="00814EC7">
        <w:rPr>
          <w:rFonts w:cs="Calibri"/>
          <w:i/>
          <w:iCs/>
          <w:sz w:val="24"/>
          <w:szCs w:val="24"/>
        </w:rPr>
        <w:t>Culture. The Anthropologists´ Account</w:t>
      </w:r>
      <w:r w:rsidRPr="00814EC7">
        <w:rPr>
          <w:rFonts w:cs="Calibri"/>
          <w:sz w:val="24"/>
          <w:szCs w:val="24"/>
        </w:rPr>
        <w:t>. Harvard: Harvard University Press.</w:t>
      </w:r>
    </w:p>
    <w:p w14:paraId="52AEDF1B" w14:textId="7BDC0266" w:rsidR="00E1784D" w:rsidRPr="00814EC7" w:rsidRDefault="00E1784D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Kürti, L. &amp; Skalník, P. (eds.) (2012). </w:t>
      </w:r>
      <w:r w:rsidRPr="00814EC7">
        <w:rPr>
          <w:rFonts w:cs="Calibri"/>
          <w:i/>
          <w:iCs/>
          <w:sz w:val="24"/>
          <w:szCs w:val="24"/>
        </w:rPr>
        <w:t>Postsocialist Europe. Anthropological Perspectives from Home</w:t>
      </w:r>
      <w:r w:rsidRPr="00814EC7">
        <w:rPr>
          <w:rFonts w:cs="Calibri"/>
          <w:sz w:val="24"/>
          <w:szCs w:val="24"/>
        </w:rPr>
        <w:t>. New York &amp; Oxford: Berghahn Books.</w:t>
      </w:r>
    </w:p>
    <w:p w14:paraId="2A710C02" w14:textId="0928D92C" w:rsidR="00425A4D" w:rsidRPr="00814EC7" w:rsidRDefault="0032053F" w:rsidP="00814EC7">
      <w:pPr>
        <w:pStyle w:val="Odstavecseseznamem"/>
        <w:ind w:left="0"/>
        <w:jc w:val="both"/>
        <w:rPr>
          <w:rFonts w:cs="Calibri"/>
          <w:sz w:val="24"/>
          <w:szCs w:val="24"/>
          <w:shd w:val="clear" w:color="auto" w:fill="FFFFFF"/>
        </w:rPr>
      </w:pPr>
      <w:r w:rsidRPr="00814EC7">
        <w:rPr>
          <w:rFonts w:cs="Calibri"/>
          <w:sz w:val="24"/>
          <w:szCs w:val="24"/>
        </w:rPr>
        <w:t xml:space="preserve">Lincoln, Yvonna S. – Lynham, Susan A. &amp; Guba, Egon G. (2011). Paradigmatic Controversies, Contradictions, and Emerging Confluences, Revisited In: Denzin, N. K. &amp; Lincoln, Y. (Eds.). </w:t>
      </w:r>
      <w:r w:rsidRPr="00814EC7">
        <w:rPr>
          <w:rFonts w:cs="Calibri"/>
          <w:i/>
          <w:iCs/>
          <w:sz w:val="24"/>
          <w:szCs w:val="24"/>
        </w:rPr>
        <w:t>Handbook of qualitative research</w:t>
      </w:r>
      <w:r w:rsidRPr="00814EC7">
        <w:rPr>
          <w:rFonts w:cs="Calibri"/>
          <w:sz w:val="24"/>
          <w:szCs w:val="24"/>
        </w:rPr>
        <w:t xml:space="preserve">. London, New Delhi: SAGE, 213–263. </w:t>
      </w:r>
    </w:p>
    <w:p w14:paraId="5F7DC865" w14:textId="7AA4D6D9" w:rsidR="00E56952" w:rsidRPr="00814EC7" w:rsidRDefault="00E56952" w:rsidP="00814EC7">
      <w:pPr>
        <w:jc w:val="both"/>
        <w:rPr>
          <w:rFonts w:cs="Calibri"/>
          <w:sz w:val="24"/>
          <w:szCs w:val="24"/>
          <w:shd w:val="clear" w:color="auto" w:fill="FFFFFF"/>
        </w:rPr>
      </w:pPr>
      <w:r w:rsidRPr="00814EC7">
        <w:rPr>
          <w:rFonts w:cs="Calibri"/>
          <w:sz w:val="24"/>
          <w:szCs w:val="24"/>
          <w:shd w:val="clear" w:color="auto" w:fill="FFFFFF"/>
        </w:rPr>
        <w:t>Moore, H. L.</w:t>
      </w:r>
      <w:r w:rsidRPr="00814EC7">
        <w:rPr>
          <w:rFonts w:cs="Calibri"/>
          <w:sz w:val="24"/>
          <w:szCs w:val="24"/>
        </w:rPr>
        <w:t xml:space="preserve"> </w:t>
      </w:r>
      <w:r w:rsidR="00E1784D" w:rsidRPr="00814EC7">
        <w:rPr>
          <w:rFonts w:cs="Calibri"/>
          <w:sz w:val="24"/>
          <w:szCs w:val="24"/>
        </w:rPr>
        <w:t>&amp;</w:t>
      </w:r>
      <w:r w:rsidRPr="00814EC7">
        <w:rPr>
          <w:rFonts w:cs="Calibri"/>
          <w:sz w:val="24"/>
          <w:szCs w:val="24"/>
          <w:shd w:val="clear" w:color="auto" w:fill="FFFFFF"/>
        </w:rPr>
        <w:t xml:space="preserve"> Sanders, T. (2005). </w:t>
      </w:r>
      <w:r w:rsidRPr="00814EC7">
        <w:rPr>
          <w:rFonts w:cs="Calibri"/>
          <w:i/>
          <w:iCs/>
          <w:sz w:val="24"/>
          <w:szCs w:val="24"/>
          <w:shd w:val="clear" w:color="auto" w:fill="FFFFFF"/>
        </w:rPr>
        <w:t>Anthropology in Theory: Issues in Epistemology.</w:t>
      </w:r>
      <w:r w:rsidRPr="00814EC7">
        <w:rPr>
          <w:rFonts w:cs="Calibri"/>
          <w:sz w:val="24"/>
          <w:szCs w:val="24"/>
          <w:shd w:val="clear" w:color="auto" w:fill="FFFFFF"/>
        </w:rPr>
        <w:t xml:space="preserve"> Hoboken: Wiley-Blackwell.</w:t>
      </w:r>
    </w:p>
    <w:p w14:paraId="01AD8131" w14:textId="06FAD303" w:rsidR="0095683C" w:rsidRPr="00814EC7" w:rsidRDefault="0095683C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Ochrana, F. (2009) </w:t>
      </w:r>
      <w:r w:rsidRPr="00814EC7">
        <w:rPr>
          <w:rFonts w:cs="Calibri"/>
          <w:i/>
          <w:iCs/>
          <w:sz w:val="24"/>
          <w:szCs w:val="24"/>
        </w:rPr>
        <w:t>Metodologie vědy. Úvod do problému</w:t>
      </w:r>
      <w:r w:rsidRPr="00814EC7">
        <w:rPr>
          <w:rFonts w:cs="Calibri"/>
          <w:sz w:val="24"/>
          <w:szCs w:val="24"/>
        </w:rPr>
        <w:t xml:space="preserve">. Praha: Karolinum. </w:t>
      </w:r>
    </w:p>
    <w:p w14:paraId="7F2EBCC6" w14:textId="017B0587" w:rsidR="00E56952" w:rsidRPr="00814EC7" w:rsidRDefault="00E56952" w:rsidP="00814EC7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  <w:shd w:val="clear" w:color="auto" w:fill="FFFFFF"/>
        </w:rPr>
        <w:t>Ortner, S. (2006). </w:t>
      </w:r>
      <w:r w:rsidRPr="00814EC7">
        <w:rPr>
          <w:rFonts w:cs="Calibri"/>
          <w:i/>
          <w:iCs/>
          <w:sz w:val="24"/>
          <w:szCs w:val="24"/>
          <w:shd w:val="clear" w:color="auto" w:fill="FFFFFF"/>
        </w:rPr>
        <w:t>Anthropology and Social Theory: Culture, Power, and the Acting Subject.</w:t>
      </w:r>
      <w:r w:rsidRPr="00814EC7">
        <w:rPr>
          <w:rFonts w:cs="Calibri"/>
          <w:sz w:val="24"/>
          <w:szCs w:val="24"/>
          <w:shd w:val="clear" w:color="auto" w:fill="FFFFFF"/>
        </w:rPr>
        <w:t xml:space="preserve"> </w:t>
      </w:r>
      <w:r w:rsidR="0032616F" w:rsidRPr="00814EC7">
        <w:rPr>
          <w:rFonts w:cs="Calibri"/>
          <w:sz w:val="24"/>
          <w:szCs w:val="24"/>
          <w:shd w:val="clear" w:color="auto" w:fill="FFFFFF"/>
        </w:rPr>
        <w:t xml:space="preserve">Durham: </w:t>
      </w:r>
      <w:r w:rsidRPr="00814EC7">
        <w:rPr>
          <w:rFonts w:cs="Calibri"/>
          <w:sz w:val="24"/>
          <w:szCs w:val="24"/>
          <w:shd w:val="clear" w:color="auto" w:fill="FFFFFF"/>
        </w:rPr>
        <w:t>Duke University Press Books.</w:t>
      </w:r>
    </w:p>
    <w:p w14:paraId="17809459" w14:textId="014258C5" w:rsidR="00E56952" w:rsidRPr="00814EC7" w:rsidRDefault="00425A4D" w:rsidP="00814EC7">
      <w:pPr>
        <w:autoSpaceDE w:val="0"/>
        <w:autoSpaceDN w:val="0"/>
        <w:adjustRightInd w:val="0"/>
        <w:jc w:val="both"/>
        <w:rPr>
          <w:rFonts w:eastAsia="RePublicBook-Regular" w:cs="Calibri"/>
          <w:sz w:val="24"/>
          <w:szCs w:val="24"/>
        </w:rPr>
      </w:pPr>
      <w:r w:rsidRPr="00814EC7">
        <w:rPr>
          <w:rFonts w:eastAsia="RePublicBook-Regular" w:cs="Calibri"/>
          <w:sz w:val="24"/>
          <w:szCs w:val="24"/>
        </w:rPr>
        <w:t xml:space="preserve">Petrů, M. (2008) </w:t>
      </w:r>
      <w:r w:rsidRPr="00814EC7">
        <w:rPr>
          <w:rFonts w:eastAsia="RePublicBook-Regular" w:cs="Calibri"/>
          <w:i/>
          <w:sz w:val="24"/>
          <w:szCs w:val="24"/>
        </w:rPr>
        <w:t>Fyziologie mysli – Úvod do kognitivní vědy</w:t>
      </w:r>
      <w:r w:rsidRPr="00814EC7">
        <w:rPr>
          <w:rFonts w:eastAsia="RePublicBook-Regular" w:cs="Calibri"/>
          <w:sz w:val="24"/>
          <w:szCs w:val="24"/>
        </w:rPr>
        <w:t>. Olomouc: Triton.</w:t>
      </w:r>
    </w:p>
    <w:p w14:paraId="16A0D50B" w14:textId="6954238E" w:rsidR="00425A4D" w:rsidRPr="00814EC7" w:rsidRDefault="4714D729" w:rsidP="00814EC7">
      <w:pPr>
        <w:jc w:val="both"/>
        <w:rPr>
          <w:rFonts w:eastAsia="Tahoma" w:cs="Calibri"/>
          <w:sz w:val="24"/>
          <w:szCs w:val="24"/>
        </w:rPr>
      </w:pPr>
      <w:r w:rsidRPr="00814EC7">
        <w:rPr>
          <w:rFonts w:cs="Calibri"/>
          <w:sz w:val="24"/>
          <w:szCs w:val="24"/>
        </w:rPr>
        <w:t xml:space="preserve">Rabinow, P. – Marcus, G. – Faubion, J. &amp; Rees, T. (2008). </w:t>
      </w:r>
      <w:r w:rsidRPr="00814EC7">
        <w:rPr>
          <w:rFonts w:cs="Calibri"/>
          <w:i/>
          <w:iCs/>
          <w:sz w:val="24"/>
          <w:szCs w:val="24"/>
        </w:rPr>
        <w:t>Designs for an Anthropology of the Contemporary</w:t>
      </w:r>
      <w:r w:rsidRPr="00814EC7">
        <w:rPr>
          <w:rFonts w:cs="Calibri"/>
          <w:sz w:val="24"/>
          <w:szCs w:val="24"/>
        </w:rPr>
        <w:t>. Durham: Duke University Press.</w:t>
      </w:r>
      <w:r w:rsidRPr="00814EC7">
        <w:rPr>
          <w:rFonts w:eastAsia="Tahoma" w:cs="Calibri"/>
          <w:sz w:val="24"/>
          <w:szCs w:val="24"/>
        </w:rPr>
        <w:t xml:space="preserve"> </w:t>
      </w:r>
    </w:p>
    <w:p w14:paraId="5BE4DBF2" w14:textId="613EE2BD" w:rsidR="00E56952" w:rsidRPr="00814EC7" w:rsidRDefault="00E56952" w:rsidP="00814EC7">
      <w:pPr>
        <w:jc w:val="both"/>
        <w:rPr>
          <w:rFonts w:eastAsia="Tahoma" w:cs="Calibri"/>
          <w:i/>
          <w:iCs/>
          <w:sz w:val="24"/>
          <w:szCs w:val="24"/>
        </w:rPr>
      </w:pPr>
      <w:r w:rsidRPr="00814EC7">
        <w:rPr>
          <w:rFonts w:eastAsia="Tahoma" w:cs="Calibri"/>
          <w:sz w:val="24"/>
          <w:szCs w:val="24"/>
        </w:rPr>
        <w:t xml:space="preserve">Ribeiro, G. I. </w:t>
      </w:r>
      <w:r w:rsidR="00E1784D" w:rsidRPr="00814EC7">
        <w:rPr>
          <w:rFonts w:cs="Calibri"/>
          <w:sz w:val="24"/>
          <w:szCs w:val="24"/>
        </w:rPr>
        <w:t>&amp;</w:t>
      </w:r>
      <w:r w:rsidRPr="00814EC7">
        <w:rPr>
          <w:rFonts w:eastAsia="Tahoma" w:cs="Calibri"/>
          <w:sz w:val="24"/>
          <w:szCs w:val="24"/>
        </w:rPr>
        <w:t xml:space="preserve"> Escobar, A. (eds.) (2006). </w:t>
      </w:r>
      <w:r w:rsidRPr="00814EC7">
        <w:rPr>
          <w:rFonts w:eastAsia="Tahoma" w:cs="Calibri"/>
          <w:i/>
          <w:iCs/>
          <w:sz w:val="24"/>
          <w:szCs w:val="24"/>
        </w:rPr>
        <w:t>World Anthropologies. Disciplinary Transformations within Systems of Power</w:t>
      </w:r>
      <w:r w:rsidRPr="00814EC7">
        <w:rPr>
          <w:rFonts w:eastAsia="Tahoma" w:cs="Calibri"/>
          <w:sz w:val="24"/>
          <w:szCs w:val="24"/>
        </w:rPr>
        <w:t xml:space="preserve">. Oxford </w:t>
      </w:r>
      <w:r w:rsidR="00E1784D" w:rsidRPr="00814EC7">
        <w:rPr>
          <w:rFonts w:cs="Calibri"/>
          <w:sz w:val="24"/>
          <w:szCs w:val="24"/>
        </w:rPr>
        <w:t>&amp;</w:t>
      </w:r>
      <w:r w:rsidRPr="00814EC7">
        <w:rPr>
          <w:rFonts w:eastAsia="Tahoma" w:cs="Calibri"/>
          <w:sz w:val="24"/>
          <w:szCs w:val="24"/>
        </w:rPr>
        <w:t xml:space="preserve"> New York: Berg.</w:t>
      </w:r>
    </w:p>
    <w:p w14:paraId="79BB2B8E" w14:textId="77777777" w:rsidR="001A2638" w:rsidRPr="00814EC7" w:rsidRDefault="001A2638" w:rsidP="0032616F">
      <w:pPr>
        <w:jc w:val="both"/>
        <w:rPr>
          <w:rFonts w:cs="Calibri"/>
          <w:sz w:val="24"/>
          <w:szCs w:val="24"/>
        </w:rPr>
      </w:pPr>
      <w:r w:rsidRPr="00814EC7">
        <w:rPr>
          <w:rFonts w:cs="Calibri"/>
          <w:sz w:val="24"/>
          <w:szCs w:val="24"/>
          <w:shd w:val="clear" w:color="auto" w:fill="FFFFFF"/>
        </w:rPr>
        <w:t xml:space="preserve">Shore, B. (1996). </w:t>
      </w:r>
      <w:r w:rsidRPr="00814EC7">
        <w:rPr>
          <w:rFonts w:cs="Calibri"/>
          <w:i/>
          <w:sz w:val="24"/>
          <w:szCs w:val="24"/>
          <w:shd w:val="clear" w:color="auto" w:fill="FFFFFF"/>
        </w:rPr>
        <w:t>Culture in Mind. Cognition, Culture, and the Problem of Meaning.</w:t>
      </w:r>
      <w:r w:rsidRPr="00814EC7">
        <w:rPr>
          <w:rFonts w:cs="Calibri"/>
          <w:sz w:val="24"/>
          <w:szCs w:val="24"/>
          <w:shd w:val="clear" w:color="auto" w:fill="FFFFFF"/>
        </w:rPr>
        <w:t xml:space="preserve"> Oxford: Oxford University Press.</w:t>
      </w:r>
      <w:r w:rsidRPr="00814EC7">
        <w:rPr>
          <w:rFonts w:cs="Calibri"/>
          <w:sz w:val="24"/>
          <w:szCs w:val="24"/>
        </w:rPr>
        <w:t xml:space="preserve"> </w:t>
      </w:r>
    </w:p>
    <w:p w14:paraId="2FC09FC7" w14:textId="3EF1A82F" w:rsidR="0032053F" w:rsidRPr="00814EC7" w:rsidRDefault="4714D729" w:rsidP="00814EC7">
      <w:pPr>
        <w:jc w:val="both"/>
        <w:rPr>
          <w:rFonts w:eastAsia="Tahoma" w:cs="Calibri"/>
          <w:sz w:val="24"/>
          <w:szCs w:val="24"/>
        </w:rPr>
      </w:pPr>
      <w:r w:rsidRPr="00814EC7">
        <w:rPr>
          <w:rFonts w:eastAsia="Tahoma" w:cs="Calibri"/>
          <w:sz w:val="24"/>
          <w:szCs w:val="24"/>
        </w:rPr>
        <w:t>S</w:t>
      </w:r>
      <w:r w:rsidR="0032053F" w:rsidRPr="00814EC7">
        <w:rPr>
          <w:rFonts w:eastAsia="Tahoma" w:cs="Calibri"/>
          <w:sz w:val="24"/>
          <w:szCs w:val="24"/>
        </w:rPr>
        <w:t>oukup</w:t>
      </w:r>
      <w:r w:rsidRPr="00814EC7">
        <w:rPr>
          <w:rFonts w:eastAsia="Tahoma" w:cs="Calibri"/>
          <w:sz w:val="24"/>
          <w:szCs w:val="24"/>
        </w:rPr>
        <w:t xml:space="preserve">, V. (2011). </w:t>
      </w:r>
      <w:r w:rsidRPr="00814EC7">
        <w:rPr>
          <w:rFonts w:eastAsia="Tahoma" w:cs="Calibri"/>
          <w:i/>
          <w:iCs/>
          <w:sz w:val="24"/>
          <w:szCs w:val="24"/>
        </w:rPr>
        <w:t xml:space="preserve">Antropologie: teorie člověka a kultury. </w:t>
      </w:r>
      <w:r w:rsidRPr="00814EC7">
        <w:rPr>
          <w:rFonts w:eastAsia="Tahoma" w:cs="Calibri"/>
          <w:sz w:val="24"/>
          <w:szCs w:val="24"/>
        </w:rPr>
        <w:t>Praha: Portál.</w:t>
      </w:r>
    </w:p>
    <w:p w14:paraId="57CDEC76" w14:textId="6B2D50F1" w:rsidR="00E56952" w:rsidRPr="00814EC7" w:rsidRDefault="00E56952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  <w:shd w:val="clear" w:color="auto" w:fill="FFFFFF"/>
        </w:rPr>
        <w:t>Welsch, R. L.</w:t>
      </w:r>
      <w:r w:rsidRPr="00814EC7">
        <w:rPr>
          <w:sz w:val="24"/>
          <w:szCs w:val="24"/>
        </w:rPr>
        <w:t xml:space="preserve"> </w:t>
      </w:r>
      <w:r w:rsidR="00E1784D" w:rsidRPr="00814EC7">
        <w:rPr>
          <w:rFonts w:cs="Calibri"/>
          <w:sz w:val="24"/>
          <w:szCs w:val="24"/>
        </w:rPr>
        <w:t>&amp;</w:t>
      </w:r>
      <w:r w:rsidRPr="00814EC7">
        <w:rPr>
          <w:sz w:val="24"/>
          <w:szCs w:val="24"/>
          <w:shd w:val="clear" w:color="auto" w:fill="FFFFFF"/>
        </w:rPr>
        <w:t xml:space="preserve"> Endicott, K. (2013). </w:t>
      </w:r>
      <w:r w:rsidRPr="00814EC7">
        <w:rPr>
          <w:i/>
          <w:iCs/>
          <w:sz w:val="24"/>
          <w:szCs w:val="24"/>
          <w:shd w:val="clear" w:color="auto" w:fill="FFFFFF"/>
        </w:rPr>
        <w:t>Taking Sides. Clashing views in anthropology</w:t>
      </w:r>
      <w:r w:rsidRPr="00814EC7">
        <w:rPr>
          <w:sz w:val="24"/>
          <w:szCs w:val="24"/>
          <w:shd w:val="clear" w:color="auto" w:fill="FFFFFF"/>
        </w:rPr>
        <w:t>. Mc Graw Hill.</w:t>
      </w:r>
    </w:p>
    <w:p w14:paraId="418902E9" w14:textId="0A5EF0E2" w:rsidR="00425A4D" w:rsidRPr="00814EC7" w:rsidRDefault="00425A4D" w:rsidP="00814EC7">
      <w:pPr>
        <w:jc w:val="both"/>
      </w:pPr>
    </w:p>
    <w:p w14:paraId="3B824A80" w14:textId="1DCCCEDB" w:rsidR="00425A4D" w:rsidRPr="00814EC7" w:rsidRDefault="00425A4D" w:rsidP="00814EC7">
      <w:pPr>
        <w:spacing w:after="0" w:line="240" w:lineRule="auto"/>
        <w:jc w:val="both"/>
        <w:rPr>
          <w:rFonts w:cs="Calibri"/>
        </w:rPr>
      </w:pPr>
      <w:r w:rsidRPr="00814EC7">
        <w:rPr>
          <w:rFonts w:cs="Calibri"/>
        </w:rPr>
        <w:br w:type="page"/>
      </w:r>
    </w:p>
    <w:p w14:paraId="58678B6E" w14:textId="1FF9852C" w:rsidR="00F96D08" w:rsidRPr="0095683C" w:rsidRDefault="00425A4D" w:rsidP="00814EC7">
      <w:pPr>
        <w:pStyle w:val="Nadpis1"/>
        <w:jc w:val="both"/>
        <w:rPr>
          <w:rStyle w:val="Zdraznnintenzivn"/>
        </w:rPr>
      </w:pPr>
      <w:r w:rsidRPr="0095683C">
        <w:rPr>
          <w:rStyle w:val="Zdraznnintenzivn"/>
        </w:rPr>
        <w:t>Metodologie antropologického výzkumu </w:t>
      </w:r>
    </w:p>
    <w:p w14:paraId="4276BA22" w14:textId="77777777" w:rsidR="00425A4D" w:rsidRPr="00425A4D" w:rsidRDefault="00425A4D" w:rsidP="00814EC7">
      <w:pPr>
        <w:pStyle w:val="Odstavecseseznamem"/>
        <w:spacing w:after="0" w:line="240" w:lineRule="auto"/>
        <w:jc w:val="both"/>
        <w:rPr>
          <w:rFonts w:cs="Calibri"/>
          <w:sz w:val="24"/>
          <w:szCs w:val="24"/>
        </w:rPr>
      </w:pPr>
    </w:p>
    <w:p w14:paraId="00630A5B" w14:textId="4240EB38" w:rsidR="00425A4D" w:rsidRPr="00814EC7" w:rsidRDefault="00425A4D" w:rsidP="00814EC7">
      <w:pPr>
        <w:pStyle w:val="Odstavecseseznamem"/>
        <w:numPr>
          <w:ilvl w:val="0"/>
          <w:numId w:val="40"/>
        </w:numPr>
        <w:spacing w:before="120" w:after="0" w:line="240" w:lineRule="auto"/>
        <w:ind w:left="357" w:hanging="357"/>
        <w:jc w:val="both"/>
        <w:rPr>
          <w:rFonts w:cs="Calibri"/>
          <w:b/>
          <w:color w:val="323130"/>
          <w:sz w:val="24"/>
          <w:szCs w:val="24"/>
          <w:bdr w:val="none" w:sz="0" w:space="0" w:color="auto" w:frame="1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>Kvalitativní výzkum</w:t>
      </w:r>
    </w:p>
    <w:p w14:paraId="4F6F6284" w14:textId="6A0202DC" w:rsidR="00425A4D" w:rsidRPr="00814EC7" w:rsidRDefault="0032053F" w:rsidP="00814EC7">
      <w:pPr>
        <w:numPr>
          <w:ilvl w:val="0"/>
          <w:numId w:val="40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color w:val="323130"/>
          <w:sz w:val="24"/>
          <w:szCs w:val="24"/>
          <w:bdr w:val="none" w:sz="0" w:space="0" w:color="auto" w:frame="1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>Možnosti a přístupu</w:t>
      </w:r>
      <w:r w:rsidR="00425A4D"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 xml:space="preserve"> v kvalitativním výzkumu</w:t>
      </w:r>
    </w:p>
    <w:p w14:paraId="5E7FEA83" w14:textId="77777777" w:rsidR="00425A4D" w:rsidRPr="00814EC7" w:rsidRDefault="00425A4D" w:rsidP="00814EC7">
      <w:pPr>
        <w:numPr>
          <w:ilvl w:val="0"/>
          <w:numId w:val="40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color w:val="323130"/>
          <w:sz w:val="24"/>
          <w:szCs w:val="24"/>
          <w:bdr w:val="none" w:sz="0" w:space="0" w:color="auto" w:frame="1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>Aplikovaná antropologie</w:t>
      </w:r>
    </w:p>
    <w:p w14:paraId="5E880D2C" w14:textId="4E154A79" w:rsidR="00F96D08" w:rsidRPr="00814EC7" w:rsidRDefault="00425A4D" w:rsidP="00814EC7">
      <w:pPr>
        <w:numPr>
          <w:ilvl w:val="0"/>
          <w:numId w:val="40"/>
        </w:numPr>
        <w:tabs>
          <w:tab w:val="clear" w:pos="720"/>
          <w:tab w:val="num" w:pos="426"/>
          <w:tab w:val="num" w:pos="2424"/>
        </w:tabs>
        <w:spacing w:before="120" w:after="0" w:line="240" w:lineRule="auto"/>
        <w:ind w:left="425" w:hanging="425"/>
        <w:jc w:val="both"/>
        <w:rPr>
          <w:rFonts w:cs="Calibri"/>
          <w:b/>
          <w:color w:val="323130"/>
          <w:sz w:val="24"/>
          <w:szCs w:val="24"/>
          <w:bdr w:val="none" w:sz="0" w:space="0" w:color="auto" w:frame="1"/>
        </w:rPr>
      </w:pPr>
      <w:r w:rsidRPr="00814EC7">
        <w:rPr>
          <w:rFonts w:cs="Calibri"/>
          <w:b/>
          <w:color w:val="323130"/>
          <w:sz w:val="24"/>
          <w:szCs w:val="24"/>
          <w:bdr w:val="none" w:sz="0" w:space="0" w:color="auto" w:frame="1"/>
        </w:rPr>
        <w:t>Vizualita a kultura</w:t>
      </w:r>
    </w:p>
    <w:p w14:paraId="4772CDB1" w14:textId="77777777" w:rsidR="0032616F" w:rsidRDefault="0032616F" w:rsidP="00814EC7">
      <w:pPr>
        <w:jc w:val="both"/>
        <w:rPr>
          <w:rFonts w:cs="Calibri"/>
          <w:sz w:val="24"/>
          <w:szCs w:val="24"/>
          <w:u w:val="single"/>
        </w:rPr>
      </w:pPr>
    </w:p>
    <w:p w14:paraId="246E3072" w14:textId="38484459" w:rsidR="00F96D08" w:rsidRPr="00814EC7" w:rsidRDefault="001A2638" w:rsidP="00814EC7">
      <w:pPr>
        <w:jc w:val="both"/>
        <w:rPr>
          <w:rFonts w:cs="Calibri"/>
          <w:sz w:val="24"/>
          <w:szCs w:val="24"/>
          <w:u w:val="single"/>
        </w:rPr>
      </w:pPr>
      <w:r w:rsidRPr="00814EC7">
        <w:rPr>
          <w:rFonts w:cs="Calibri"/>
          <w:sz w:val="24"/>
          <w:szCs w:val="24"/>
          <w:u w:val="single"/>
        </w:rPr>
        <w:t>Doporučená l</w:t>
      </w:r>
      <w:r w:rsidR="00F96D08" w:rsidRPr="00814EC7">
        <w:rPr>
          <w:rFonts w:cs="Calibri"/>
          <w:sz w:val="24"/>
          <w:szCs w:val="24"/>
          <w:u w:val="single"/>
        </w:rPr>
        <w:t>iteratura:</w:t>
      </w:r>
    </w:p>
    <w:p w14:paraId="73B01F9B" w14:textId="7FA8C09B" w:rsidR="001A2638" w:rsidRPr="00814EC7" w:rsidRDefault="001A2638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>Abu Ghosh, Y</w:t>
      </w:r>
      <w:r w:rsidR="00E1784D" w:rsidRPr="00814EC7">
        <w:rPr>
          <w:sz w:val="24"/>
          <w:szCs w:val="24"/>
        </w:rPr>
        <w:t>. &amp;</w:t>
      </w:r>
      <w:r w:rsidRPr="00814EC7">
        <w:rPr>
          <w:sz w:val="24"/>
          <w:szCs w:val="24"/>
        </w:rPr>
        <w:t xml:space="preserve"> Stöckelová, T. (eds.) (2014). </w:t>
      </w:r>
      <w:r w:rsidRPr="00814EC7">
        <w:rPr>
          <w:i/>
          <w:iCs/>
          <w:sz w:val="24"/>
          <w:szCs w:val="24"/>
        </w:rPr>
        <w:t>Etnografie: Improvizace v teorii a terénní praxi</w:t>
      </w:r>
      <w:r w:rsidRPr="00814EC7">
        <w:rPr>
          <w:sz w:val="24"/>
          <w:szCs w:val="24"/>
        </w:rPr>
        <w:t>. Praha: Slon.</w:t>
      </w:r>
    </w:p>
    <w:p w14:paraId="0202EBCB" w14:textId="13490386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Baba, M. L. &amp; </w:t>
      </w:r>
      <w:r w:rsidR="00E1784D" w:rsidRPr="00814EC7">
        <w:rPr>
          <w:sz w:val="24"/>
          <w:szCs w:val="24"/>
        </w:rPr>
        <w:t xml:space="preserve">Hill, </w:t>
      </w:r>
      <w:r w:rsidRPr="00814EC7">
        <w:rPr>
          <w:sz w:val="24"/>
          <w:szCs w:val="24"/>
        </w:rPr>
        <w:t>C</w:t>
      </w:r>
      <w:r w:rsidR="00E1784D" w:rsidRPr="00814EC7">
        <w:rPr>
          <w:sz w:val="24"/>
          <w:szCs w:val="24"/>
        </w:rPr>
        <w:t>.</w:t>
      </w:r>
      <w:r w:rsidRPr="00814EC7">
        <w:rPr>
          <w:sz w:val="24"/>
          <w:szCs w:val="24"/>
        </w:rPr>
        <w:t xml:space="preserve"> E. (2006). What’s in the Name ‘Applied Anthropology’? An Encounter with Global Practice. In Hill, C. &amp; Baba, M. (</w:t>
      </w:r>
      <w:r w:rsidR="0032616F">
        <w:rPr>
          <w:sz w:val="24"/>
          <w:szCs w:val="24"/>
        </w:rPr>
        <w:t>e</w:t>
      </w:r>
      <w:r w:rsidRPr="00814EC7">
        <w:rPr>
          <w:sz w:val="24"/>
          <w:szCs w:val="24"/>
        </w:rPr>
        <w:t xml:space="preserve">ds.). </w:t>
      </w:r>
      <w:r w:rsidRPr="00814EC7">
        <w:rPr>
          <w:i/>
          <w:iCs/>
          <w:sz w:val="24"/>
          <w:szCs w:val="24"/>
        </w:rPr>
        <w:t>The Globalization of Anthropology</w:t>
      </w:r>
      <w:r w:rsidRPr="00814EC7">
        <w:rPr>
          <w:sz w:val="24"/>
          <w:szCs w:val="24"/>
        </w:rPr>
        <w:t>. NAPA Bulletin #25. Washington: American Anthropological Association, 176–207.</w:t>
      </w:r>
    </w:p>
    <w:p w14:paraId="1456A580" w14:textId="4AD5FF0C" w:rsidR="001A2638" w:rsidRPr="00814EC7" w:rsidRDefault="001A2638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>Bernard, H.</w:t>
      </w:r>
      <w:r w:rsidR="0032616F">
        <w:rPr>
          <w:sz w:val="24"/>
          <w:szCs w:val="24"/>
        </w:rPr>
        <w:t xml:space="preserve"> </w:t>
      </w:r>
      <w:r w:rsidRPr="00814EC7">
        <w:rPr>
          <w:sz w:val="24"/>
          <w:szCs w:val="24"/>
        </w:rPr>
        <w:t xml:space="preserve">R. (2011). </w:t>
      </w:r>
      <w:r w:rsidRPr="00814EC7">
        <w:rPr>
          <w:i/>
          <w:iCs/>
          <w:sz w:val="24"/>
          <w:szCs w:val="24"/>
        </w:rPr>
        <w:t>Research Methods in Anthropology. Qualitative and Quantitative Approaches</w:t>
      </w:r>
      <w:r w:rsidRPr="00814EC7">
        <w:rPr>
          <w:sz w:val="24"/>
          <w:szCs w:val="24"/>
        </w:rPr>
        <w:t>. Lanham: AltaMira Press.</w:t>
      </w:r>
    </w:p>
    <w:p w14:paraId="15E2B3EB" w14:textId="0D56752E" w:rsidR="00E1784D" w:rsidRPr="00814EC7" w:rsidRDefault="00E1784D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>Clarke, A.</w:t>
      </w:r>
      <w:r w:rsidR="0032616F">
        <w:rPr>
          <w:sz w:val="24"/>
          <w:szCs w:val="24"/>
        </w:rPr>
        <w:t xml:space="preserve"> </w:t>
      </w:r>
      <w:r w:rsidRPr="00814EC7">
        <w:rPr>
          <w:sz w:val="24"/>
          <w:szCs w:val="24"/>
        </w:rPr>
        <w:t>E. (2005). </w:t>
      </w:r>
      <w:r w:rsidRPr="00814EC7">
        <w:rPr>
          <w:i/>
          <w:iCs/>
          <w:sz w:val="24"/>
          <w:szCs w:val="24"/>
        </w:rPr>
        <w:t>Situational Analysis: Grounded Theory After the Postmodern Turn</w:t>
      </w:r>
      <w:r w:rsidRPr="00814EC7">
        <w:rPr>
          <w:sz w:val="24"/>
          <w:szCs w:val="24"/>
        </w:rPr>
        <w:t>. Sage Publications.</w:t>
      </w:r>
    </w:p>
    <w:p w14:paraId="6163EE55" w14:textId="3A48CCB9" w:rsidR="00425A4D" w:rsidRPr="00814EC7" w:rsidRDefault="00425A4D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Creswell, J. W. (2007). </w:t>
      </w:r>
      <w:r w:rsidRPr="00814EC7">
        <w:rPr>
          <w:i/>
          <w:iCs/>
          <w:sz w:val="24"/>
          <w:szCs w:val="24"/>
        </w:rPr>
        <w:t>Qualitative Inquiry and Research Design: Choosing Among Five Approaches</w:t>
      </w:r>
      <w:r w:rsidRPr="00814EC7">
        <w:rPr>
          <w:sz w:val="24"/>
          <w:szCs w:val="24"/>
        </w:rPr>
        <w:t xml:space="preserve">. Thousand Oaks, CA: Sage. </w:t>
      </w:r>
    </w:p>
    <w:p w14:paraId="4B8067F2" w14:textId="45B8F49F" w:rsidR="0080034B" w:rsidRPr="00814EC7" w:rsidRDefault="00425A4D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Creswell, J. W. (2009). </w:t>
      </w:r>
      <w:r w:rsidRPr="00814EC7">
        <w:rPr>
          <w:i/>
          <w:iCs/>
          <w:sz w:val="24"/>
          <w:szCs w:val="24"/>
        </w:rPr>
        <w:t>Research Design: Qualitative, Quantitative, and Mixed Methods Approaches</w:t>
      </w:r>
      <w:r w:rsidRPr="00814EC7">
        <w:rPr>
          <w:sz w:val="24"/>
          <w:szCs w:val="24"/>
        </w:rPr>
        <w:t>. London: SAGE.</w:t>
      </w:r>
    </w:p>
    <w:p w14:paraId="67743951" w14:textId="77777777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Ervin, A. M. (2005). </w:t>
      </w:r>
      <w:r w:rsidRPr="00814EC7">
        <w:rPr>
          <w:i/>
          <w:iCs/>
          <w:sz w:val="24"/>
          <w:szCs w:val="24"/>
        </w:rPr>
        <w:t>Applied Anthropology: Tools and Perspectives for Contemporary Practice</w:t>
      </w:r>
      <w:r w:rsidRPr="00814EC7">
        <w:rPr>
          <w:sz w:val="24"/>
          <w:szCs w:val="24"/>
        </w:rPr>
        <w:t>. 2nd ed. Boston: Pearson/Allyn and Bacon.</w:t>
      </w:r>
    </w:p>
    <w:p w14:paraId="41951D3E" w14:textId="682764F7" w:rsidR="00425A4D" w:rsidRPr="00814EC7" w:rsidRDefault="00425A4D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Flick, U. (2007). </w:t>
      </w:r>
      <w:r w:rsidRPr="00814EC7">
        <w:rPr>
          <w:i/>
          <w:iCs/>
          <w:sz w:val="24"/>
          <w:szCs w:val="24"/>
        </w:rPr>
        <w:t>Designing Qualitative Research</w:t>
      </w:r>
      <w:r w:rsidRPr="00814EC7">
        <w:rPr>
          <w:sz w:val="24"/>
          <w:szCs w:val="24"/>
        </w:rPr>
        <w:t>. London: SAGE.</w:t>
      </w:r>
    </w:p>
    <w:p w14:paraId="108FB9E1" w14:textId="729EA427" w:rsidR="00425A4D" w:rsidRPr="00814EC7" w:rsidRDefault="00425A4D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Flick, U. (2009). </w:t>
      </w:r>
      <w:r w:rsidRPr="00814EC7">
        <w:rPr>
          <w:i/>
          <w:iCs/>
          <w:sz w:val="24"/>
          <w:szCs w:val="24"/>
        </w:rPr>
        <w:t>An Introduction to Qualitative Research</w:t>
      </w:r>
      <w:r w:rsidRPr="00814EC7">
        <w:rPr>
          <w:sz w:val="24"/>
          <w:szCs w:val="24"/>
        </w:rPr>
        <w:t>. London: SAGE.</w:t>
      </w:r>
    </w:p>
    <w:p w14:paraId="1720B310" w14:textId="4FCC29AA" w:rsidR="001A2638" w:rsidRPr="00814EC7" w:rsidRDefault="001A2638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Hammersley, M. </w:t>
      </w:r>
      <w:r w:rsidR="00E1784D" w:rsidRPr="00814EC7">
        <w:rPr>
          <w:sz w:val="24"/>
          <w:szCs w:val="24"/>
        </w:rPr>
        <w:t>&amp;</w:t>
      </w:r>
      <w:r w:rsidRPr="00814EC7">
        <w:rPr>
          <w:sz w:val="24"/>
          <w:szCs w:val="24"/>
        </w:rPr>
        <w:t xml:space="preserve"> Atkinson, P. (2007). </w:t>
      </w:r>
      <w:r w:rsidRPr="00814EC7">
        <w:rPr>
          <w:i/>
          <w:iCs/>
          <w:sz w:val="24"/>
          <w:szCs w:val="24"/>
        </w:rPr>
        <w:t>Ethnography: Principles in Practice.</w:t>
      </w:r>
      <w:r w:rsidRPr="00814EC7">
        <w:rPr>
          <w:sz w:val="24"/>
          <w:szCs w:val="24"/>
        </w:rPr>
        <w:t xml:space="preserve"> Routledge. </w:t>
      </w:r>
    </w:p>
    <w:p w14:paraId="4464968C" w14:textId="77777777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Grimshaw, A. (ed.). (2001). </w:t>
      </w:r>
      <w:r w:rsidRPr="00814EC7">
        <w:rPr>
          <w:i/>
          <w:iCs/>
          <w:sz w:val="24"/>
          <w:szCs w:val="24"/>
        </w:rPr>
        <w:t>The Ethnographer's Eye: Ways of Seeing in Anthropology</w:t>
      </w:r>
      <w:r w:rsidRPr="00814EC7">
        <w:rPr>
          <w:sz w:val="24"/>
          <w:szCs w:val="24"/>
        </w:rPr>
        <w:t>. London: Cambridge University Press.</w:t>
      </w:r>
    </w:p>
    <w:p w14:paraId="61F05B04" w14:textId="77777777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Heider, K. G. (2006). </w:t>
      </w:r>
      <w:r w:rsidRPr="00814EC7">
        <w:rPr>
          <w:i/>
          <w:iCs/>
          <w:sz w:val="24"/>
          <w:szCs w:val="24"/>
        </w:rPr>
        <w:t>Ethnographic Film</w:t>
      </w:r>
      <w:r w:rsidRPr="00814EC7">
        <w:rPr>
          <w:sz w:val="24"/>
          <w:szCs w:val="24"/>
        </w:rPr>
        <w:t>, Revised Edition. Austin: University of Texas Press.</w:t>
      </w:r>
    </w:p>
    <w:p w14:paraId="30CCA02E" w14:textId="77777777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Hirt, T. a kol. (2012). </w:t>
      </w:r>
      <w:r w:rsidRPr="00814EC7">
        <w:rPr>
          <w:i/>
          <w:iCs/>
          <w:sz w:val="24"/>
          <w:szCs w:val="24"/>
        </w:rPr>
        <w:t>Vybrané kapitoly z aplikované sociální antropologie</w:t>
      </w:r>
      <w:r w:rsidRPr="00814EC7">
        <w:rPr>
          <w:sz w:val="24"/>
          <w:szCs w:val="24"/>
        </w:rPr>
        <w:t>. Plzeň: Západočeská univerzita.</w:t>
      </w:r>
    </w:p>
    <w:p w14:paraId="638D6202" w14:textId="1B6DC36D" w:rsidR="0080034B" w:rsidRPr="00814EC7" w:rsidRDefault="0080034B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Charmaz, K. (2006). </w:t>
      </w:r>
      <w:r w:rsidRPr="00814EC7">
        <w:rPr>
          <w:i/>
          <w:iCs/>
          <w:sz w:val="24"/>
          <w:szCs w:val="24"/>
        </w:rPr>
        <w:t>Constructing Grounded Theory: A Practical Guide through Qualitative Analysis.</w:t>
      </w:r>
      <w:r w:rsidRPr="00814EC7">
        <w:rPr>
          <w:sz w:val="24"/>
          <w:szCs w:val="24"/>
        </w:rPr>
        <w:t xml:space="preserve"> </w:t>
      </w:r>
      <w:r w:rsidR="0032616F">
        <w:rPr>
          <w:sz w:val="24"/>
          <w:szCs w:val="24"/>
        </w:rPr>
        <w:t xml:space="preserve">London: </w:t>
      </w:r>
      <w:r w:rsidRPr="00814EC7">
        <w:rPr>
          <w:sz w:val="24"/>
          <w:szCs w:val="24"/>
        </w:rPr>
        <w:t>S</w:t>
      </w:r>
      <w:r w:rsidR="0032616F">
        <w:rPr>
          <w:sz w:val="24"/>
          <w:szCs w:val="24"/>
        </w:rPr>
        <w:t>AGE</w:t>
      </w:r>
    </w:p>
    <w:p w14:paraId="16A2CCAF" w14:textId="298BDD0C" w:rsidR="00F16DA5" w:rsidRPr="00814EC7" w:rsidRDefault="00F16DA5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Chrastina, J. (2019). </w:t>
      </w:r>
      <w:r w:rsidRPr="00814EC7">
        <w:rPr>
          <w:i/>
          <w:sz w:val="24"/>
          <w:szCs w:val="24"/>
        </w:rPr>
        <w:t xml:space="preserve">Případová studie – metoda kvalitativní výzkumné strategie a designování výzkumu. </w:t>
      </w:r>
      <w:r w:rsidRPr="00814EC7">
        <w:rPr>
          <w:sz w:val="24"/>
          <w:szCs w:val="24"/>
        </w:rPr>
        <w:t xml:space="preserve">Olomouc: Univerzita Palackého v Olomouci. </w:t>
      </w:r>
    </w:p>
    <w:p w14:paraId="74DAA4DB" w14:textId="706855E5" w:rsidR="00425A4D" w:rsidRPr="00814EC7" w:rsidRDefault="00425A4D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Kaufmann, J. C. (2010). </w:t>
      </w:r>
      <w:r w:rsidRPr="00814EC7">
        <w:rPr>
          <w:i/>
          <w:iCs/>
          <w:sz w:val="24"/>
          <w:szCs w:val="24"/>
        </w:rPr>
        <w:t>Chápající rozhovor</w:t>
      </w:r>
      <w:r w:rsidRPr="00814EC7">
        <w:rPr>
          <w:sz w:val="24"/>
          <w:szCs w:val="24"/>
        </w:rPr>
        <w:t xml:space="preserve">. Praha: SLON. </w:t>
      </w:r>
    </w:p>
    <w:p w14:paraId="1E85110F" w14:textId="5CEEDD26" w:rsidR="00B82138" w:rsidRPr="00814EC7" w:rsidRDefault="00B82138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Miles, M.B. et al. (2014). </w:t>
      </w:r>
      <w:r w:rsidRPr="00814EC7">
        <w:rPr>
          <w:i/>
          <w:sz w:val="24"/>
          <w:szCs w:val="24"/>
        </w:rPr>
        <w:t>Qualitative data analysis: a methods sourcebook.</w:t>
      </w:r>
      <w:r w:rsidRPr="00814EC7">
        <w:rPr>
          <w:sz w:val="24"/>
          <w:szCs w:val="24"/>
        </w:rPr>
        <w:t xml:space="preserve"> </w:t>
      </w:r>
      <w:r w:rsidR="0032616F">
        <w:rPr>
          <w:sz w:val="24"/>
          <w:szCs w:val="24"/>
        </w:rPr>
        <w:t>London: SAGE</w:t>
      </w:r>
      <w:r w:rsidRPr="00814EC7">
        <w:rPr>
          <w:sz w:val="24"/>
          <w:szCs w:val="24"/>
        </w:rPr>
        <w:t xml:space="preserve">. </w:t>
      </w:r>
    </w:p>
    <w:p w14:paraId="6B9F3555" w14:textId="77777777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Mirzoeff, N. (2009). </w:t>
      </w:r>
      <w:r w:rsidRPr="00814EC7">
        <w:rPr>
          <w:i/>
          <w:iCs/>
          <w:sz w:val="24"/>
          <w:szCs w:val="24"/>
        </w:rPr>
        <w:t>An Introduction to Visual Culture</w:t>
      </w:r>
      <w:r w:rsidRPr="00814EC7">
        <w:rPr>
          <w:sz w:val="24"/>
          <w:szCs w:val="24"/>
        </w:rPr>
        <w:t>. London: Routledge.</w:t>
      </w:r>
    </w:p>
    <w:p w14:paraId="16C2D3AC" w14:textId="79F09B5C" w:rsidR="00B82138" w:rsidRPr="00814EC7" w:rsidRDefault="00B82138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Mišovič, J. (2019). </w:t>
      </w:r>
      <w:r w:rsidRPr="00814EC7">
        <w:rPr>
          <w:i/>
          <w:sz w:val="24"/>
          <w:szCs w:val="24"/>
        </w:rPr>
        <w:t>Kvalitativní výzkum se zaměřením na polostrukturovaný rozhovor.</w:t>
      </w:r>
      <w:r w:rsidRPr="00814EC7">
        <w:rPr>
          <w:sz w:val="24"/>
          <w:szCs w:val="24"/>
        </w:rPr>
        <w:t xml:space="preserve"> Praha: Slon. </w:t>
      </w:r>
    </w:p>
    <w:p w14:paraId="55CDFFE1" w14:textId="3C591F63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Rose, G. (2001). </w:t>
      </w:r>
      <w:r w:rsidRPr="00814EC7">
        <w:rPr>
          <w:i/>
          <w:iCs/>
          <w:sz w:val="24"/>
          <w:szCs w:val="24"/>
        </w:rPr>
        <w:t>Visual Methodologies. An Introduction to the Interpretation of Visual Materials</w:t>
      </w:r>
      <w:r w:rsidRPr="00814EC7">
        <w:rPr>
          <w:sz w:val="24"/>
          <w:szCs w:val="24"/>
        </w:rPr>
        <w:t>. London: SAGE.</w:t>
      </w:r>
    </w:p>
    <w:p w14:paraId="79389B28" w14:textId="4C1B22F0" w:rsidR="0080034B" w:rsidRPr="00814EC7" w:rsidRDefault="0080034B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Řiháček, T. et al. (2013). </w:t>
      </w:r>
      <w:r w:rsidRPr="00814EC7">
        <w:rPr>
          <w:i/>
          <w:sz w:val="24"/>
          <w:szCs w:val="24"/>
        </w:rPr>
        <w:t xml:space="preserve">Kvalitativní analýza textů: čtyři přístupy. </w:t>
      </w:r>
      <w:r w:rsidRPr="00814EC7">
        <w:rPr>
          <w:sz w:val="24"/>
          <w:szCs w:val="24"/>
        </w:rPr>
        <w:t xml:space="preserve">Brno: Masarykova univerzita. </w:t>
      </w:r>
    </w:p>
    <w:p w14:paraId="5964F68B" w14:textId="77777777" w:rsidR="0032053F" w:rsidRPr="00814EC7" w:rsidRDefault="0032053F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Soukup, M. (2014). </w:t>
      </w:r>
      <w:r w:rsidRPr="00814EC7">
        <w:rPr>
          <w:i/>
          <w:iCs/>
          <w:sz w:val="24"/>
          <w:szCs w:val="24"/>
        </w:rPr>
        <w:t>Terénní výzkum v sociální a kulturní antropologii</w:t>
      </w:r>
      <w:r w:rsidRPr="00814EC7">
        <w:rPr>
          <w:sz w:val="24"/>
          <w:szCs w:val="24"/>
        </w:rPr>
        <w:t>. Praha: Karolinum.</w:t>
      </w:r>
    </w:p>
    <w:p w14:paraId="3F8E9CAA" w14:textId="238279C5" w:rsidR="0095683C" w:rsidRPr="00814EC7" w:rsidRDefault="0095683C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>Sturken, M.</w:t>
      </w:r>
      <w:r w:rsidR="001A2638" w:rsidRPr="00814EC7">
        <w:rPr>
          <w:sz w:val="24"/>
          <w:szCs w:val="24"/>
        </w:rPr>
        <w:t xml:space="preserve"> </w:t>
      </w:r>
      <w:r w:rsidR="00E1784D" w:rsidRPr="00814EC7">
        <w:rPr>
          <w:sz w:val="24"/>
          <w:szCs w:val="24"/>
        </w:rPr>
        <w:t>&amp;</w:t>
      </w:r>
      <w:r w:rsidRPr="00814EC7">
        <w:rPr>
          <w:sz w:val="24"/>
          <w:szCs w:val="24"/>
        </w:rPr>
        <w:t xml:space="preserve"> Cartwright, L. (2008). </w:t>
      </w:r>
      <w:r w:rsidRPr="00814EC7">
        <w:rPr>
          <w:i/>
          <w:iCs/>
          <w:sz w:val="24"/>
          <w:szCs w:val="24"/>
        </w:rPr>
        <w:t>Practices of Looking: An Introduction to Visual Culture</w:t>
      </w:r>
      <w:r w:rsidRPr="00814EC7">
        <w:rPr>
          <w:sz w:val="24"/>
          <w:szCs w:val="24"/>
        </w:rPr>
        <w:t>. Oxford: Oxford UP.</w:t>
      </w:r>
    </w:p>
    <w:p w14:paraId="6EB1A4E5" w14:textId="5B33F01F" w:rsidR="00C057B8" w:rsidRPr="00814EC7" w:rsidRDefault="00C057B8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Toušek, L. et al. (2015). </w:t>
      </w:r>
      <w:r w:rsidRPr="00814EC7">
        <w:rPr>
          <w:i/>
          <w:sz w:val="24"/>
          <w:szCs w:val="24"/>
        </w:rPr>
        <w:t>Kapitoly z kvalitativního výzkumu.</w:t>
      </w:r>
      <w:r w:rsidRPr="00814EC7">
        <w:rPr>
          <w:sz w:val="24"/>
          <w:szCs w:val="24"/>
        </w:rPr>
        <w:t xml:space="preserve"> Plzeň: Západočeská univerzita v Plzni. </w:t>
      </w:r>
    </w:p>
    <w:p w14:paraId="05DF6BAC" w14:textId="24BD233A" w:rsidR="00AB400E" w:rsidRPr="00814EC7" w:rsidRDefault="00AB400E" w:rsidP="00814EC7">
      <w:pPr>
        <w:jc w:val="both"/>
        <w:rPr>
          <w:sz w:val="24"/>
          <w:szCs w:val="24"/>
        </w:rPr>
      </w:pPr>
      <w:r w:rsidRPr="00814EC7">
        <w:rPr>
          <w:sz w:val="24"/>
          <w:szCs w:val="24"/>
        </w:rPr>
        <w:t xml:space="preserve">Wertz, F. J. et al. </w:t>
      </w:r>
      <w:r w:rsidR="001A2638" w:rsidRPr="00814EC7">
        <w:rPr>
          <w:sz w:val="24"/>
          <w:szCs w:val="24"/>
        </w:rPr>
        <w:t>(</w:t>
      </w:r>
      <w:r w:rsidRPr="00814EC7">
        <w:rPr>
          <w:sz w:val="24"/>
          <w:szCs w:val="24"/>
        </w:rPr>
        <w:t>2011</w:t>
      </w:r>
      <w:r w:rsidR="001A2638" w:rsidRPr="00814EC7">
        <w:rPr>
          <w:sz w:val="24"/>
          <w:szCs w:val="24"/>
        </w:rPr>
        <w:t>)</w:t>
      </w:r>
      <w:r w:rsidRPr="00814EC7">
        <w:rPr>
          <w:sz w:val="24"/>
          <w:szCs w:val="24"/>
        </w:rPr>
        <w:t xml:space="preserve">. </w:t>
      </w:r>
      <w:r w:rsidRPr="00814EC7">
        <w:rPr>
          <w:i/>
          <w:iCs/>
          <w:sz w:val="24"/>
          <w:szCs w:val="24"/>
        </w:rPr>
        <w:t>Five Ways of Doing Qualitative Analysis: Phenomenological Psychology, Grounded Theory, Discourse Analysis, Narrative Research, and Intuitive Inquiry</w:t>
      </w:r>
      <w:r w:rsidRPr="00814EC7">
        <w:rPr>
          <w:sz w:val="24"/>
          <w:szCs w:val="24"/>
        </w:rPr>
        <w:t xml:space="preserve">. </w:t>
      </w:r>
      <w:r w:rsidR="0032616F">
        <w:rPr>
          <w:sz w:val="24"/>
          <w:szCs w:val="24"/>
        </w:rPr>
        <w:t xml:space="preserve">New York: </w:t>
      </w:r>
      <w:r w:rsidRPr="00814EC7">
        <w:rPr>
          <w:sz w:val="24"/>
          <w:szCs w:val="24"/>
        </w:rPr>
        <w:t>The Guilford Press</w:t>
      </w:r>
      <w:r w:rsidR="00E1784D" w:rsidRPr="00814EC7">
        <w:rPr>
          <w:sz w:val="24"/>
          <w:szCs w:val="24"/>
        </w:rPr>
        <w:t>.</w:t>
      </w:r>
    </w:p>
    <w:p w14:paraId="4215F3EE" w14:textId="77777777" w:rsidR="0095683C" w:rsidRPr="00814EC7" w:rsidRDefault="0095683C" w:rsidP="00814EC7">
      <w:pPr>
        <w:jc w:val="both"/>
        <w:rPr>
          <w:sz w:val="24"/>
          <w:szCs w:val="24"/>
        </w:rPr>
      </w:pPr>
    </w:p>
    <w:sectPr w:rsidR="0095683C" w:rsidRPr="00814EC7" w:rsidSect="00E668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16823" w14:textId="77777777" w:rsidR="00C948B6" w:rsidRDefault="00C948B6" w:rsidP="00310700">
      <w:pPr>
        <w:spacing w:after="0" w:line="240" w:lineRule="auto"/>
      </w:pPr>
      <w:r>
        <w:separator/>
      </w:r>
    </w:p>
  </w:endnote>
  <w:endnote w:type="continuationSeparator" w:id="0">
    <w:p w14:paraId="2FE9E2E7" w14:textId="77777777" w:rsidR="00C948B6" w:rsidRDefault="00C948B6" w:rsidP="0031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ZurichCE C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cBook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093E" w14:textId="54F79967" w:rsidR="00E16974" w:rsidRDefault="00B013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4EC7">
      <w:rPr>
        <w:noProof/>
      </w:rPr>
      <w:t>1</w:t>
    </w:r>
    <w:r>
      <w:rPr>
        <w:noProof/>
      </w:rPr>
      <w:fldChar w:fldCharType="end"/>
    </w:r>
  </w:p>
  <w:p w14:paraId="5F326384" w14:textId="77777777" w:rsidR="00E16974" w:rsidRDefault="00E16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5DC0" w14:textId="77777777" w:rsidR="00C948B6" w:rsidRDefault="00C948B6" w:rsidP="00310700">
      <w:pPr>
        <w:spacing w:after="0" w:line="240" w:lineRule="auto"/>
      </w:pPr>
      <w:r>
        <w:separator/>
      </w:r>
    </w:p>
  </w:footnote>
  <w:footnote w:type="continuationSeparator" w:id="0">
    <w:p w14:paraId="1C921E8A" w14:textId="77777777" w:rsidR="00C948B6" w:rsidRDefault="00C948B6" w:rsidP="0031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6CAC" w14:textId="77777777" w:rsidR="00E16974" w:rsidRDefault="00E16974">
    <w:pPr>
      <w:pStyle w:val="Zhlav"/>
      <w:jc w:val="right"/>
    </w:pPr>
  </w:p>
  <w:p w14:paraId="50D8FCFE" w14:textId="77777777" w:rsidR="00E16974" w:rsidRDefault="00E169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829"/>
    <w:multiLevelType w:val="hybridMultilevel"/>
    <w:tmpl w:val="6B94AC3A"/>
    <w:lvl w:ilvl="0" w:tplc="DBE0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8E7"/>
    <w:multiLevelType w:val="hybridMultilevel"/>
    <w:tmpl w:val="10027AAA"/>
    <w:lvl w:ilvl="0" w:tplc="82A42E9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245"/>
    <w:multiLevelType w:val="hybridMultilevel"/>
    <w:tmpl w:val="52B43EE4"/>
    <w:lvl w:ilvl="0" w:tplc="0405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478D"/>
    <w:multiLevelType w:val="hybridMultilevel"/>
    <w:tmpl w:val="8314254A"/>
    <w:lvl w:ilvl="0" w:tplc="0E346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A2752"/>
    <w:multiLevelType w:val="hybridMultilevel"/>
    <w:tmpl w:val="55FC3E38"/>
    <w:lvl w:ilvl="0" w:tplc="D14E4F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2E35"/>
    <w:multiLevelType w:val="hybridMultilevel"/>
    <w:tmpl w:val="C12435D2"/>
    <w:lvl w:ilvl="0" w:tplc="159A3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56455"/>
    <w:multiLevelType w:val="hybridMultilevel"/>
    <w:tmpl w:val="D73808B0"/>
    <w:lvl w:ilvl="0" w:tplc="8C96B7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85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82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A9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827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EB5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A6B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CA9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2AD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0456"/>
    <w:multiLevelType w:val="hybridMultilevel"/>
    <w:tmpl w:val="590441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027C"/>
    <w:multiLevelType w:val="hybridMultilevel"/>
    <w:tmpl w:val="EC5E6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E6C72"/>
    <w:multiLevelType w:val="hybridMultilevel"/>
    <w:tmpl w:val="B4BE7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80C"/>
    <w:multiLevelType w:val="hybridMultilevel"/>
    <w:tmpl w:val="A642A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21247"/>
    <w:multiLevelType w:val="hybridMultilevel"/>
    <w:tmpl w:val="C12435D2"/>
    <w:lvl w:ilvl="0" w:tplc="159A3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E257D"/>
    <w:multiLevelType w:val="hybridMultilevel"/>
    <w:tmpl w:val="8F1CBDD4"/>
    <w:lvl w:ilvl="0" w:tplc="0405000F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739DB"/>
    <w:multiLevelType w:val="hybridMultilevel"/>
    <w:tmpl w:val="28246C54"/>
    <w:lvl w:ilvl="0" w:tplc="B13E4E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E8325D9"/>
    <w:multiLevelType w:val="hybridMultilevel"/>
    <w:tmpl w:val="4B348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DBB"/>
    <w:multiLevelType w:val="hybridMultilevel"/>
    <w:tmpl w:val="D4AC7B62"/>
    <w:lvl w:ilvl="0" w:tplc="DBE0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83EF7"/>
    <w:multiLevelType w:val="multilevel"/>
    <w:tmpl w:val="9F18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11194"/>
    <w:multiLevelType w:val="hybridMultilevel"/>
    <w:tmpl w:val="2EEC72E6"/>
    <w:lvl w:ilvl="0" w:tplc="B13E4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6EB3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C5D8A"/>
    <w:multiLevelType w:val="hybridMultilevel"/>
    <w:tmpl w:val="7C58B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709C8"/>
    <w:multiLevelType w:val="hybridMultilevel"/>
    <w:tmpl w:val="A642A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D4690"/>
    <w:multiLevelType w:val="hybridMultilevel"/>
    <w:tmpl w:val="11008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80823"/>
    <w:multiLevelType w:val="hybridMultilevel"/>
    <w:tmpl w:val="D27C9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96DF4"/>
    <w:multiLevelType w:val="hybridMultilevel"/>
    <w:tmpl w:val="30463202"/>
    <w:lvl w:ilvl="0" w:tplc="E7984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82BAA"/>
    <w:multiLevelType w:val="hybridMultilevel"/>
    <w:tmpl w:val="AA68F65A"/>
    <w:lvl w:ilvl="0" w:tplc="5BE25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AA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04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8F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29D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42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47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03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205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8799D"/>
    <w:multiLevelType w:val="hybridMultilevel"/>
    <w:tmpl w:val="A7666576"/>
    <w:lvl w:ilvl="0" w:tplc="DBE0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9765A"/>
    <w:multiLevelType w:val="hybridMultilevel"/>
    <w:tmpl w:val="A296DFAE"/>
    <w:lvl w:ilvl="0" w:tplc="DBE0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127"/>
    <w:multiLevelType w:val="hybridMultilevel"/>
    <w:tmpl w:val="4AB681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E6EB3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606F2"/>
    <w:multiLevelType w:val="hybridMultilevel"/>
    <w:tmpl w:val="01928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D31A0"/>
    <w:multiLevelType w:val="hybridMultilevel"/>
    <w:tmpl w:val="28246C54"/>
    <w:lvl w:ilvl="0" w:tplc="B13E4E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2D557AF"/>
    <w:multiLevelType w:val="hybridMultilevel"/>
    <w:tmpl w:val="5802DFE6"/>
    <w:lvl w:ilvl="0" w:tplc="1A7EA8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2A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CC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00D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EF8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EC5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A7B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EC2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63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90D98"/>
    <w:multiLevelType w:val="hybridMultilevel"/>
    <w:tmpl w:val="8F1CB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8412A"/>
    <w:multiLevelType w:val="hybridMultilevel"/>
    <w:tmpl w:val="32569C5C"/>
    <w:lvl w:ilvl="0" w:tplc="B13E4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75380"/>
    <w:multiLevelType w:val="hybridMultilevel"/>
    <w:tmpl w:val="773477CE"/>
    <w:lvl w:ilvl="0" w:tplc="3D28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0393A"/>
    <w:multiLevelType w:val="multilevel"/>
    <w:tmpl w:val="53A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05388F"/>
    <w:multiLevelType w:val="hybridMultilevel"/>
    <w:tmpl w:val="286AC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05D11"/>
    <w:multiLevelType w:val="hybridMultilevel"/>
    <w:tmpl w:val="32B0F268"/>
    <w:lvl w:ilvl="0" w:tplc="B13E4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23A9"/>
    <w:multiLevelType w:val="hybridMultilevel"/>
    <w:tmpl w:val="90DAA060"/>
    <w:lvl w:ilvl="0" w:tplc="B13E4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063AB"/>
    <w:multiLevelType w:val="multilevel"/>
    <w:tmpl w:val="BF3E5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557284"/>
    <w:multiLevelType w:val="hybridMultilevel"/>
    <w:tmpl w:val="0A081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55BBC"/>
    <w:multiLevelType w:val="hybridMultilevel"/>
    <w:tmpl w:val="1CECE9A8"/>
    <w:lvl w:ilvl="0" w:tplc="DBE0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3"/>
  </w:num>
  <w:num w:numId="4">
    <w:abstractNumId w:val="34"/>
  </w:num>
  <w:num w:numId="5">
    <w:abstractNumId w:val="27"/>
  </w:num>
  <w:num w:numId="6">
    <w:abstractNumId w:val="21"/>
  </w:num>
  <w:num w:numId="7">
    <w:abstractNumId w:val="9"/>
  </w:num>
  <w:num w:numId="8">
    <w:abstractNumId w:val="2"/>
  </w:num>
  <w:num w:numId="9">
    <w:abstractNumId w:val="8"/>
  </w:num>
  <w:num w:numId="10">
    <w:abstractNumId w:val="25"/>
  </w:num>
  <w:num w:numId="11">
    <w:abstractNumId w:val="24"/>
  </w:num>
  <w:num w:numId="12">
    <w:abstractNumId w:val="39"/>
  </w:num>
  <w:num w:numId="13">
    <w:abstractNumId w:val="0"/>
  </w:num>
  <w:num w:numId="14">
    <w:abstractNumId w:val="15"/>
  </w:num>
  <w:num w:numId="15">
    <w:abstractNumId w:val="22"/>
  </w:num>
  <w:num w:numId="16">
    <w:abstractNumId w:val="32"/>
  </w:num>
  <w:num w:numId="17">
    <w:abstractNumId w:val="7"/>
  </w:num>
  <w:num w:numId="18">
    <w:abstractNumId w:val="10"/>
  </w:num>
  <w:num w:numId="19">
    <w:abstractNumId w:val="5"/>
  </w:num>
  <w:num w:numId="20">
    <w:abstractNumId w:val="30"/>
  </w:num>
  <w:num w:numId="21">
    <w:abstractNumId w:val="26"/>
  </w:num>
  <w:num w:numId="22">
    <w:abstractNumId w:val="20"/>
  </w:num>
  <w:num w:numId="23">
    <w:abstractNumId w:val="23"/>
  </w:num>
  <w:num w:numId="24">
    <w:abstractNumId w:val="6"/>
  </w:num>
  <w:num w:numId="25">
    <w:abstractNumId w:val="29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5"/>
  </w:num>
  <w:num w:numId="30">
    <w:abstractNumId w:val="31"/>
  </w:num>
  <w:num w:numId="31">
    <w:abstractNumId w:val="36"/>
  </w:num>
  <w:num w:numId="32">
    <w:abstractNumId w:val="14"/>
  </w:num>
  <w:num w:numId="33">
    <w:abstractNumId w:val="28"/>
  </w:num>
  <w:num w:numId="34">
    <w:abstractNumId w:val="38"/>
  </w:num>
  <w:num w:numId="35">
    <w:abstractNumId w:val="13"/>
  </w:num>
  <w:num w:numId="36">
    <w:abstractNumId w:val="17"/>
  </w:num>
  <w:num w:numId="37">
    <w:abstractNumId w:val="11"/>
  </w:num>
  <w:num w:numId="38">
    <w:abstractNumId w:val="1"/>
  </w:num>
  <w:num w:numId="39">
    <w:abstractNumId w:val="18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67"/>
    <w:rsid w:val="0002118A"/>
    <w:rsid w:val="00022EF4"/>
    <w:rsid w:val="00023E12"/>
    <w:rsid w:val="00024C04"/>
    <w:rsid w:val="00036E95"/>
    <w:rsid w:val="000415D5"/>
    <w:rsid w:val="00042D87"/>
    <w:rsid w:val="000601E6"/>
    <w:rsid w:val="00064F0D"/>
    <w:rsid w:val="00072C95"/>
    <w:rsid w:val="00073CB0"/>
    <w:rsid w:val="000773FC"/>
    <w:rsid w:val="000C7836"/>
    <w:rsid w:val="000D72C9"/>
    <w:rsid w:val="000E57C0"/>
    <w:rsid w:val="00103E42"/>
    <w:rsid w:val="001131DC"/>
    <w:rsid w:val="00152535"/>
    <w:rsid w:val="001747FF"/>
    <w:rsid w:val="00180C5F"/>
    <w:rsid w:val="00190B92"/>
    <w:rsid w:val="00196C31"/>
    <w:rsid w:val="001A2638"/>
    <w:rsid w:val="001B4D5D"/>
    <w:rsid w:val="001C2260"/>
    <w:rsid w:val="001C7D14"/>
    <w:rsid w:val="002450F7"/>
    <w:rsid w:val="00247F41"/>
    <w:rsid w:val="00261EBA"/>
    <w:rsid w:val="0026334A"/>
    <w:rsid w:val="0027267C"/>
    <w:rsid w:val="00285BA3"/>
    <w:rsid w:val="002B26AC"/>
    <w:rsid w:val="002D1585"/>
    <w:rsid w:val="002D3DB5"/>
    <w:rsid w:val="002D4B38"/>
    <w:rsid w:val="002E4C50"/>
    <w:rsid w:val="002E7E87"/>
    <w:rsid w:val="002F2BDB"/>
    <w:rsid w:val="002F3E9B"/>
    <w:rsid w:val="002F3F22"/>
    <w:rsid w:val="00310700"/>
    <w:rsid w:val="0032053F"/>
    <w:rsid w:val="0032616F"/>
    <w:rsid w:val="00334500"/>
    <w:rsid w:val="0033607F"/>
    <w:rsid w:val="00351B1C"/>
    <w:rsid w:val="00373A87"/>
    <w:rsid w:val="00374B0F"/>
    <w:rsid w:val="003804A5"/>
    <w:rsid w:val="00384FD5"/>
    <w:rsid w:val="00395CF3"/>
    <w:rsid w:val="003A22BA"/>
    <w:rsid w:val="003B17A9"/>
    <w:rsid w:val="003B3DBF"/>
    <w:rsid w:val="003B6E14"/>
    <w:rsid w:val="003C3F4E"/>
    <w:rsid w:val="003E1202"/>
    <w:rsid w:val="003E484F"/>
    <w:rsid w:val="003F2367"/>
    <w:rsid w:val="004041E0"/>
    <w:rsid w:val="0040542C"/>
    <w:rsid w:val="00405BFE"/>
    <w:rsid w:val="00420798"/>
    <w:rsid w:val="00425A4D"/>
    <w:rsid w:val="00460195"/>
    <w:rsid w:val="00461125"/>
    <w:rsid w:val="004633C0"/>
    <w:rsid w:val="00463BAD"/>
    <w:rsid w:val="0047358C"/>
    <w:rsid w:val="004736EC"/>
    <w:rsid w:val="0047569E"/>
    <w:rsid w:val="00475AA7"/>
    <w:rsid w:val="004774CA"/>
    <w:rsid w:val="00486F91"/>
    <w:rsid w:val="004B4230"/>
    <w:rsid w:val="004D7D9D"/>
    <w:rsid w:val="00524DC8"/>
    <w:rsid w:val="005308EC"/>
    <w:rsid w:val="005421B8"/>
    <w:rsid w:val="005424D9"/>
    <w:rsid w:val="005466FA"/>
    <w:rsid w:val="00550005"/>
    <w:rsid w:val="00553BB7"/>
    <w:rsid w:val="005572B7"/>
    <w:rsid w:val="005666D3"/>
    <w:rsid w:val="0058068C"/>
    <w:rsid w:val="0059619B"/>
    <w:rsid w:val="005A7815"/>
    <w:rsid w:val="005B264D"/>
    <w:rsid w:val="005B40EB"/>
    <w:rsid w:val="005B4887"/>
    <w:rsid w:val="005B61CF"/>
    <w:rsid w:val="005B6E6F"/>
    <w:rsid w:val="005D1534"/>
    <w:rsid w:val="006057DF"/>
    <w:rsid w:val="00630AF2"/>
    <w:rsid w:val="006412F9"/>
    <w:rsid w:val="0064503B"/>
    <w:rsid w:val="00651745"/>
    <w:rsid w:val="006639D8"/>
    <w:rsid w:val="006645A8"/>
    <w:rsid w:val="006774B6"/>
    <w:rsid w:val="00683FFE"/>
    <w:rsid w:val="00687D06"/>
    <w:rsid w:val="006B38A0"/>
    <w:rsid w:val="006B3D9B"/>
    <w:rsid w:val="006B535F"/>
    <w:rsid w:val="007066B8"/>
    <w:rsid w:val="0072486D"/>
    <w:rsid w:val="00747A4B"/>
    <w:rsid w:val="0075617F"/>
    <w:rsid w:val="007A3291"/>
    <w:rsid w:val="007C6BF6"/>
    <w:rsid w:val="007E0F38"/>
    <w:rsid w:val="007F1EF5"/>
    <w:rsid w:val="007F3963"/>
    <w:rsid w:val="0080034B"/>
    <w:rsid w:val="00814EC7"/>
    <w:rsid w:val="00822D79"/>
    <w:rsid w:val="00862C83"/>
    <w:rsid w:val="00871A0E"/>
    <w:rsid w:val="0089130B"/>
    <w:rsid w:val="0089219D"/>
    <w:rsid w:val="008A1B07"/>
    <w:rsid w:val="008A4B0F"/>
    <w:rsid w:val="008B476E"/>
    <w:rsid w:val="008D2F1B"/>
    <w:rsid w:val="008D745A"/>
    <w:rsid w:val="008D7AC4"/>
    <w:rsid w:val="008E00A8"/>
    <w:rsid w:val="008E6A27"/>
    <w:rsid w:val="009043DE"/>
    <w:rsid w:val="00934C92"/>
    <w:rsid w:val="00940172"/>
    <w:rsid w:val="0094244E"/>
    <w:rsid w:val="00942D24"/>
    <w:rsid w:val="00952549"/>
    <w:rsid w:val="00956330"/>
    <w:rsid w:val="0095683C"/>
    <w:rsid w:val="0096608A"/>
    <w:rsid w:val="00970146"/>
    <w:rsid w:val="009B64DC"/>
    <w:rsid w:val="009B68B5"/>
    <w:rsid w:val="009C3576"/>
    <w:rsid w:val="009D4E93"/>
    <w:rsid w:val="009D6AD8"/>
    <w:rsid w:val="009E1959"/>
    <w:rsid w:val="009E26B9"/>
    <w:rsid w:val="009E4B33"/>
    <w:rsid w:val="009E5F97"/>
    <w:rsid w:val="009F3C31"/>
    <w:rsid w:val="00A113B2"/>
    <w:rsid w:val="00A14AFD"/>
    <w:rsid w:val="00A2675F"/>
    <w:rsid w:val="00A55E11"/>
    <w:rsid w:val="00A605D6"/>
    <w:rsid w:val="00A60BBE"/>
    <w:rsid w:val="00A63CFB"/>
    <w:rsid w:val="00A65654"/>
    <w:rsid w:val="00A968D3"/>
    <w:rsid w:val="00AA326C"/>
    <w:rsid w:val="00AB1B72"/>
    <w:rsid w:val="00AB400E"/>
    <w:rsid w:val="00AC1381"/>
    <w:rsid w:val="00AC6911"/>
    <w:rsid w:val="00AD07CE"/>
    <w:rsid w:val="00AE6664"/>
    <w:rsid w:val="00B01376"/>
    <w:rsid w:val="00B0367D"/>
    <w:rsid w:val="00B27333"/>
    <w:rsid w:val="00B27839"/>
    <w:rsid w:val="00B32A0D"/>
    <w:rsid w:val="00B46B4E"/>
    <w:rsid w:val="00B655FC"/>
    <w:rsid w:val="00B67E1F"/>
    <w:rsid w:val="00B75020"/>
    <w:rsid w:val="00B82138"/>
    <w:rsid w:val="00B853A0"/>
    <w:rsid w:val="00BB6814"/>
    <w:rsid w:val="00BC0EDA"/>
    <w:rsid w:val="00BC42F7"/>
    <w:rsid w:val="00BE01CD"/>
    <w:rsid w:val="00BF29CF"/>
    <w:rsid w:val="00BF2FDE"/>
    <w:rsid w:val="00C057B8"/>
    <w:rsid w:val="00C22B74"/>
    <w:rsid w:val="00C34E66"/>
    <w:rsid w:val="00C45C8F"/>
    <w:rsid w:val="00C46D24"/>
    <w:rsid w:val="00C503BC"/>
    <w:rsid w:val="00C540F9"/>
    <w:rsid w:val="00C5495E"/>
    <w:rsid w:val="00C71CC8"/>
    <w:rsid w:val="00C73B65"/>
    <w:rsid w:val="00C90C4B"/>
    <w:rsid w:val="00C948B6"/>
    <w:rsid w:val="00CA1E6C"/>
    <w:rsid w:val="00CB35F5"/>
    <w:rsid w:val="00CC32B3"/>
    <w:rsid w:val="00CE284E"/>
    <w:rsid w:val="00CE7CC7"/>
    <w:rsid w:val="00D019E3"/>
    <w:rsid w:val="00D049E1"/>
    <w:rsid w:val="00D32259"/>
    <w:rsid w:val="00D346CC"/>
    <w:rsid w:val="00D511C8"/>
    <w:rsid w:val="00D52D70"/>
    <w:rsid w:val="00D574B0"/>
    <w:rsid w:val="00D72F91"/>
    <w:rsid w:val="00D86510"/>
    <w:rsid w:val="00D86A5F"/>
    <w:rsid w:val="00DD75E8"/>
    <w:rsid w:val="00DF2FE7"/>
    <w:rsid w:val="00DF58BF"/>
    <w:rsid w:val="00E071E0"/>
    <w:rsid w:val="00E109CA"/>
    <w:rsid w:val="00E16974"/>
    <w:rsid w:val="00E1784D"/>
    <w:rsid w:val="00E179FB"/>
    <w:rsid w:val="00E21F20"/>
    <w:rsid w:val="00E32B06"/>
    <w:rsid w:val="00E35B78"/>
    <w:rsid w:val="00E462D6"/>
    <w:rsid w:val="00E56952"/>
    <w:rsid w:val="00E6683C"/>
    <w:rsid w:val="00E6778B"/>
    <w:rsid w:val="00E70933"/>
    <w:rsid w:val="00E7413B"/>
    <w:rsid w:val="00E80039"/>
    <w:rsid w:val="00E80BB4"/>
    <w:rsid w:val="00E93056"/>
    <w:rsid w:val="00E97170"/>
    <w:rsid w:val="00EA45DD"/>
    <w:rsid w:val="00EB266E"/>
    <w:rsid w:val="00EB48E1"/>
    <w:rsid w:val="00EC5806"/>
    <w:rsid w:val="00EC77AA"/>
    <w:rsid w:val="00ED3E95"/>
    <w:rsid w:val="00ED7022"/>
    <w:rsid w:val="00EE3905"/>
    <w:rsid w:val="00F10F89"/>
    <w:rsid w:val="00F1115B"/>
    <w:rsid w:val="00F16DA5"/>
    <w:rsid w:val="00F40367"/>
    <w:rsid w:val="00F5133D"/>
    <w:rsid w:val="00F54B14"/>
    <w:rsid w:val="00F55D3B"/>
    <w:rsid w:val="00F5776E"/>
    <w:rsid w:val="00F62121"/>
    <w:rsid w:val="00F71283"/>
    <w:rsid w:val="00F720BC"/>
    <w:rsid w:val="00F85207"/>
    <w:rsid w:val="00F96D08"/>
    <w:rsid w:val="00FA23A3"/>
    <w:rsid w:val="00FB7B67"/>
    <w:rsid w:val="00FD2824"/>
    <w:rsid w:val="00FD4815"/>
    <w:rsid w:val="00FD6C49"/>
    <w:rsid w:val="00FE52C8"/>
    <w:rsid w:val="00FE55F7"/>
    <w:rsid w:val="00FF4F24"/>
    <w:rsid w:val="4714D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508"/>
  <w15:docId w15:val="{3ED583EB-C30B-4331-87C8-03D3BF5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D9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AC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4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2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D7D9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E48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8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E48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8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48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84F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BF29CF"/>
    <w:rPr>
      <w:i/>
      <w:iCs/>
    </w:rPr>
  </w:style>
  <w:style w:type="character" w:styleId="Siln">
    <w:name w:val="Strong"/>
    <w:uiPriority w:val="22"/>
    <w:qFormat/>
    <w:rsid w:val="00F5133D"/>
    <w:rPr>
      <w:b/>
      <w:bCs/>
    </w:rPr>
  </w:style>
  <w:style w:type="character" w:customStyle="1" w:styleId="apple-converted-space">
    <w:name w:val="apple-converted-space"/>
    <w:basedOn w:val="Standardnpsmoodstavce"/>
    <w:rsid w:val="009D4E93"/>
  </w:style>
  <w:style w:type="table" w:styleId="Mkatabulky">
    <w:name w:val="Table Grid"/>
    <w:basedOn w:val="Normlntabulka"/>
    <w:uiPriority w:val="99"/>
    <w:rsid w:val="009D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qFormat/>
    <w:rsid w:val="002F3E9B"/>
    <w:rPr>
      <w:rFonts w:ascii="Times New Roman" w:eastAsia="MS Mincho" w:hAnsi="Times New Roman"/>
      <w:sz w:val="24"/>
      <w:lang w:val="en-GB" w:eastAsia="zh-TW"/>
    </w:rPr>
  </w:style>
  <w:style w:type="character" w:customStyle="1" w:styleId="st">
    <w:name w:val="st"/>
    <w:basedOn w:val="Standardnpsmoodstavce"/>
    <w:rsid w:val="002F3E9B"/>
  </w:style>
  <w:style w:type="paragraph" w:styleId="Nzev">
    <w:name w:val="Title"/>
    <w:basedOn w:val="Normln"/>
    <w:next w:val="Normln"/>
    <w:link w:val="NzevChar"/>
    <w:uiPriority w:val="10"/>
    <w:qFormat/>
    <w:rsid w:val="004054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10"/>
    <w:rsid w:val="0040542C"/>
    <w:rPr>
      <w:rFonts w:ascii="Cambria" w:eastAsia="PMingLiU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42C"/>
    <w:pPr>
      <w:numPr>
        <w:ilvl w:val="1"/>
      </w:numPr>
    </w:pPr>
    <w:rPr>
      <w:rFonts w:ascii="Cambria" w:eastAsia="PMingLiU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0542C"/>
    <w:rPr>
      <w:rFonts w:ascii="Cambria" w:eastAsia="PMingLiU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customStyle="1" w:styleId="NADPIS10">
    <w:name w:val="NADPIS 1"/>
    <w:basedOn w:val="Normln"/>
    <w:rsid w:val="00B27839"/>
    <w:pPr>
      <w:spacing w:before="180" w:after="180" w:line="240" w:lineRule="auto"/>
      <w:outlineLvl w:val="0"/>
    </w:pPr>
    <w:rPr>
      <w:rFonts w:ascii="Times New Roman" w:eastAsia="Times New Roman" w:hAnsi="Times New Roman"/>
      <w:b/>
      <w:bCs/>
      <w:caps/>
      <w:sz w:val="40"/>
      <w:szCs w:val="72"/>
    </w:rPr>
  </w:style>
  <w:style w:type="paragraph" w:customStyle="1" w:styleId="NADPIS20">
    <w:name w:val="NADPIS 2"/>
    <w:basedOn w:val="Normln"/>
    <w:rsid w:val="00B27839"/>
    <w:pPr>
      <w:spacing w:before="180" w:after="180" w:line="240" w:lineRule="auto"/>
      <w:outlineLvl w:val="1"/>
    </w:pPr>
    <w:rPr>
      <w:rFonts w:ascii="Comic Sans MS" w:eastAsia="Times New Roman" w:hAnsi="Comic Sans MS"/>
      <w:b/>
      <w:i/>
      <w:caps/>
      <w:sz w:val="28"/>
      <w:szCs w:val="72"/>
    </w:rPr>
  </w:style>
  <w:style w:type="paragraph" w:customStyle="1" w:styleId="NADPIS3">
    <w:name w:val="NADPIS 3"/>
    <w:basedOn w:val="Normln"/>
    <w:rsid w:val="00B27839"/>
    <w:pPr>
      <w:spacing w:before="180" w:after="120" w:line="240" w:lineRule="auto"/>
      <w:outlineLvl w:val="2"/>
    </w:pPr>
    <w:rPr>
      <w:rFonts w:ascii="Verdana" w:eastAsia="Times New Roman" w:hAnsi="Verdana"/>
      <w:b/>
      <w:bCs/>
      <w:i/>
      <w:sz w:val="24"/>
      <w:szCs w:val="52"/>
    </w:rPr>
  </w:style>
  <w:style w:type="paragraph" w:styleId="Zkladntext">
    <w:name w:val="Body Text"/>
    <w:aliases w:val=" Char"/>
    <w:basedOn w:val="Normln"/>
    <w:link w:val="ZkladntextChar"/>
    <w:rsid w:val="00AB1B7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 Char Char"/>
    <w:link w:val="Zkladntext"/>
    <w:rsid w:val="00AB1B72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semiHidden/>
    <w:rsid w:val="006645A8"/>
    <w:rPr>
      <w:vertAlign w:val="superscript"/>
    </w:rPr>
  </w:style>
  <w:style w:type="paragraph" w:customStyle="1" w:styleId="Default">
    <w:name w:val="Default"/>
    <w:rsid w:val="00D574B0"/>
    <w:pPr>
      <w:autoSpaceDE w:val="0"/>
      <w:autoSpaceDN w:val="0"/>
      <w:adjustRightInd w:val="0"/>
    </w:pPr>
    <w:rPr>
      <w:rFonts w:ascii="ZurichCE Cn BT" w:hAnsi="ZurichCE Cn BT" w:cs="ZurichCE Cn B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D574B0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574B0"/>
    <w:rPr>
      <w:rFonts w:cs="ZurichCE Cn BT"/>
      <w:color w:val="000000"/>
      <w:sz w:val="16"/>
      <w:szCs w:val="16"/>
    </w:rPr>
  </w:style>
  <w:style w:type="character" w:customStyle="1" w:styleId="A1">
    <w:name w:val="A1"/>
    <w:uiPriority w:val="99"/>
    <w:rsid w:val="00D574B0"/>
    <w:rPr>
      <w:rFonts w:cs="ZurichCE Cn BT"/>
      <w:color w:val="000000"/>
      <w:sz w:val="28"/>
      <w:szCs w:val="28"/>
    </w:rPr>
  </w:style>
  <w:style w:type="character" w:customStyle="1" w:styleId="A2">
    <w:name w:val="A2"/>
    <w:uiPriority w:val="99"/>
    <w:rsid w:val="00D574B0"/>
    <w:rPr>
      <w:rFonts w:cs="ZurichCE Cn BT"/>
      <w:color w:val="000000"/>
      <w:sz w:val="15"/>
      <w:szCs w:val="15"/>
    </w:rPr>
  </w:style>
  <w:style w:type="character" w:customStyle="1" w:styleId="A3">
    <w:name w:val="A3"/>
    <w:uiPriority w:val="99"/>
    <w:rsid w:val="00D574B0"/>
    <w:rPr>
      <w:rFonts w:cs="ZurichCE Cn BT"/>
      <w:color w:val="000000"/>
      <w:sz w:val="20"/>
      <w:szCs w:val="20"/>
    </w:rPr>
  </w:style>
  <w:style w:type="character" w:customStyle="1" w:styleId="Nadpis2Char">
    <w:name w:val="Nadpis 2 Char"/>
    <w:link w:val="Nadpis2"/>
    <w:uiPriority w:val="9"/>
    <w:rsid w:val="00546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category">
    <w:name w:val="articlecategory"/>
    <w:basedOn w:val="Normln"/>
    <w:rsid w:val="0054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rticledetails">
    <w:name w:val="articledetails"/>
    <w:basedOn w:val="Normln"/>
    <w:rsid w:val="0054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5466FA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B26AC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styleId="CittHTML">
    <w:name w:val="HTML Cite"/>
    <w:uiPriority w:val="99"/>
    <w:semiHidden/>
    <w:unhideWhenUsed/>
    <w:rsid w:val="000C783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1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700"/>
  </w:style>
  <w:style w:type="paragraph" w:styleId="Zpat">
    <w:name w:val="footer"/>
    <w:basedOn w:val="Normln"/>
    <w:link w:val="ZpatChar"/>
    <w:uiPriority w:val="99"/>
    <w:unhideWhenUsed/>
    <w:rsid w:val="0031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700"/>
  </w:style>
  <w:style w:type="paragraph" w:styleId="Bezmezer">
    <w:name w:val="No Spacing"/>
    <w:link w:val="BezmezerChar"/>
    <w:uiPriority w:val="1"/>
    <w:qFormat/>
    <w:rsid w:val="00E668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6683C"/>
    <w:rPr>
      <w:rFonts w:asciiTheme="minorHAnsi" w:eastAsiaTheme="minorEastAsia" w:hAnsiTheme="minorHAnsi" w:cstheme="minorBid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425A4D"/>
    <w:rPr>
      <w:sz w:val="22"/>
      <w:szCs w:val="22"/>
      <w:lang w:eastAsia="en-US"/>
    </w:rPr>
  </w:style>
  <w:style w:type="character" w:customStyle="1" w:styleId="ls6">
    <w:name w:val="ls6"/>
    <w:basedOn w:val="Standardnpsmoodstavce"/>
    <w:rsid w:val="0095683C"/>
  </w:style>
  <w:style w:type="character" w:customStyle="1" w:styleId="ff3">
    <w:name w:val="ff3"/>
    <w:basedOn w:val="Standardnpsmoodstavce"/>
    <w:rsid w:val="0095683C"/>
  </w:style>
  <w:style w:type="character" w:customStyle="1" w:styleId="ls8">
    <w:name w:val="ls8"/>
    <w:basedOn w:val="Standardnpsmoodstavce"/>
    <w:rsid w:val="0095683C"/>
  </w:style>
  <w:style w:type="character" w:styleId="Zdraznnintenzivn">
    <w:name w:val="Intense Emphasis"/>
    <w:basedOn w:val="Standardnpsmoodstavce"/>
    <w:uiPriority w:val="21"/>
    <w:qFormat/>
    <w:rsid w:val="0095683C"/>
    <w:rPr>
      <w:i/>
      <w:iCs/>
      <w:color w:val="90C22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Okruhy jsou určeny studentům magisterského studia – oboru kulturní antropologie na Katedře sociologie, andragogiky a kulturní antropologie FF UP a jsou orientačním podkladem pro přípravu na státní závěrečnou zkoušku.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2E5500-87FE-4BAC-90C0-A05246E1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6178</Characters>
  <Application>Microsoft Office Word</Application>
  <DocSecurity>0</DocSecurity>
  <Lines>90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Zkouškové okruhy</vt:lpstr>
    </vt:vector>
  </TitlesOfParts>
  <Company>HP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Zkouškové okruhy</dc:title>
  <dc:subject>Magisterská státní závěrečná zkouška – obor kulturní antropologie</dc:subject>
  <dc:creator>Verze 2020 – institucionální akreditace</dc:creator>
  <cp:lastModifiedBy>Jaroslav Šotola</cp:lastModifiedBy>
  <cp:revision>2</cp:revision>
  <dcterms:created xsi:type="dcterms:W3CDTF">2020-12-07T09:12:00Z</dcterms:created>
  <dcterms:modified xsi:type="dcterms:W3CDTF">2020-12-07T09:12:00Z</dcterms:modified>
</cp:coreProperties>
</file>